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90" w:rsidRPr="00960106" w:rsidRDefault="00EB556F" w:rsidP="00960106">
      <w:pPr>
        <w:spacing w:line="360" w:lineRule="auto"/>
        <w:rPr>
          <w:rFonts w:ascii="宋体" w:eastAsia="宋体" w:hAnsi="宋体" w:cs="宋体"/>
          <w:b/>
          <w:szCs w:val="24"/>
        </w:rPr>
      </w:pPr>
      <w:r w:rsidRPr="00960106">
        <w:rPr>
          <w:rFonts w:ascii="宋体" w:eastAsia="宋体" w:hAnsi="宋体" w:cs="宋体"/>
          <w:b/>
          <w:szCs w:val="24"/>
        </w:rPr>
        <w:t>证券代码：</w:t>
      </w:r>
      <w:r w:rsidR="00CA00E9" w:rsidRPr="00960106">
        <w:rPr>
          <w:rFonts w:ascii="宋体" w:eastAsia="宋体" w:hAnsi="宋体" w:cs="宋体"/>
          <w:b/>
          <w:szCs w:val="24"/>
        </w:rPr>
        <w:t xml:space="preserve">002309           </w:t>
      </w:r>
      <w:r w:rsidR="00960106">
        <w:rPr>
          <w:rFonts w:ascii="宋体" w:eastAsia="宋体" w:hAnsi="宋体" w:cs="宋体"/>
          <w:b/>
          <w:szCs w:val="24"/>
        </w:rPr>
        <w:t xml:space="preserve"> </w:t>
      </w:r>
      <w:r w:rsidRPr="00960106">
        <w:rPr>
          <w:rFonts w:ascii="宋体" w:eastAsia="宋体" w:hAnsi="宋体" w:cs="宋体"/>
          <w:b/>
          <w:szCs w:val="24"/>
        </w:rPr>
        <w:t xml:space="preserve">  </w:t>
      </w:r>
      <w:r w:rsidR="00960106">
        <w:rPr>
          <w:rFonts w:ascii="宋体" w:eastAsia="宋体" w:hAnsi="宋体" w:cs="宋体"/>
          <w:b/>
          <w:szCs w:val="24"/>
        </w:rPr>
        <w:t xml:space="preserve">     </w:t>
      </w:r>
      <w:r w:rsidRPr="00960106">
        <w:rPr>
          <w:rFonts w:ascii="宋体" w:eastAsia="宋体" w:hAnsi="宋体" w:cs="宋体"/>
          <w:b/>
          <w:szCs w:val="24"/>
        </w:rPr>
        <w:t xml:space="preserve"> 证券简称：中利集团       </w:t>
      </w:r>
      <w:r w:rsidR="00CA00E9" w:rsidRPr="00960106">
        <w:rPr>
          <w:rFonts w:ascii="宋体" w:eastAsia="宋体" w:hAnsi="宋体" w:cs="宋体"/>
          <w:b/>
          <w:szCs w:val="24"/>
        </w:rPr>
        <w:t xml:space="preserve"> </w:t>
      </w:r>
      <w:r w:rsidR="00960106">
        <w:rPr>
          <w:rFonts w:ascii="宋体" w:eastAsia="宋体" w:hAnsi="宋体" w:cs="宋体"/>
          <w:b/>
          <w:szCs w:val="24"/>
        </w:rPr>
        <w:t xml:space="preserve">       </w:t>
      </w:r>
      <w:r w:rsidRPr="00960106">
        <w:rPr>
          <w:rFonts w:ascii="宋体" w:eastAsia="宋体" w:hAnsi="宋体" w:cs="宋体"/>
          <w:b/>
          <w:szCs w:val="24"/>
        </w:rPr>
        <w:t xml:space="preserve">  公告编号：</w:t>
      </w:r>
      <w:r w:rsidR="00CA00E9" w:rsidRPr="00960106">
        <w:rPr>
          <w:rFonts w:ascii="宋体" w:eastAsia="宋体" w:hAnsi="宋体" w:cs="宋体" w:hint="eastAsia"/>
          <w:b/>
          <w:szCs w:val="24"/>
        </w:rPr>
        <w:t>2</w:t>
      </w:r>
      <w:r w:rsidR="00CA00E9" w:rsidRPr="00960106">
        <w:rPr>
          <w:rFonts w:ascii="宋体" w:eastAsia="宋体" w:hAnsi="宋体" w:cs="宋体"/>
          <w:b/>
          <w:szCs w:val="24"/>
        </w:rPr>
        <w:t>026</w:t>
      </w:r>
      <w:r w:rsidR="00CA00E9" w:rsidRPr="00960106">
        <w:rPr>
          <w:rFonts w:ascii="宋体" w:eastAsia="宋体" w:hAnsi="宋体" w:cs="宋体" w:hint="eastAsia"/>
          <w:b/>
          <w:szCs w:val="24"/>
        </w:rPr>
        <w:t>-</w:t>
      </w:r>
      <w:r w:rsidR="00CA00E9" w:rsidRPr="00960106">
        <w:rPr>
          <w:rFonts w:ascii="宋体" w:eastAsia="宋体" w:hAnsi="宋体" w:cs="宋体"/>
          <w:b/>
          <w:szCs w:val="24"/>
        </w:rPr>
        <w:t>0</w:t>
      </w:r>
      <w:r w:rsidR="00960106" w:rsidRPr="00960106">
        <w:rPr>
          <w:rFonts w:ascii="宋体" w:eastAsia="宋体" w:hAnsi="宋体" w:cs="宋体"/>
          <w:b/>
          <w:szCs w:val="24"/>
        </w:rPr>
        <w:t>12</w:t>
      </w:r>
    </w:p>
    <w:p w:rsidR="00005B90" w:rsidRDefault="00EB556F" w:rsidP="00357CD7">
      <w:pPr>
        <w:spacing w:beforeLines="100" w:before="312" w:afterLines="100" w:after="312"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6"/>
          <w:szCs w:val="36"/>
        </w:rPr>
        <w:t>江苏中利集团股份有限公司2025年年度报告摘要</w:t>
      </w:r>
    </w:p>
    <w:p w:rsidR="00005B90" w:rsidRPr="00CA00E9" w:rsidRDefault="00EB556F" w:rsidP="00CA00E9">
      <w:pPr>
        <w:pStyle w:val="2"/>
        <w:spacing w:before="300" w:after="300" w:line="360" w:lineRule="auto"/>
        <w:rPr>
          <w:rFonts w:ascii="宋体" w:eastAsia="宋体" w:hAnsi="宋体" w:cs="宋体"/>
          <w:b/>
          <w:bCs/>
          <w:sz w:val="24"/>
          <w:szCs w:val="24"/>
        </w:rPr>
      </w:pPr>
      <w:bookmarkStart w:id="0" w:name="_Toc988889"/>
      <w:r w:rsidRPr="00CA00E9">
        <w:rPr>
          <w:rFonts w:ascii="宋体" w:eastAsia="宋体" w:hAnsi="宋体" w:cs="宋体"/>
          <w:b/>
          <w:bCs/>
          <w:sz w:val="24"/>
          <w:szCs w:val="24"/>
        </w:rPr>
        <w:t>一、重要提示</w:t>
      </w:r>
      <w:bookmarkEnd w:id="0"/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本年度报告摘要来自年度报告全文，为全面了解本公司的经营成果、财务状况及未来发展规划，投资者应当到证监会指定媒体仔细阅读年度报告全文。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所有董事均</w:t>
      </w:r>
      <w:proofErr w:type="gramStart"/>
      <w:r w:rsidRPr="00CA00E9">
        <w:rPr>
          <w:rFonts w:ascii="宋体" w:eastAsia="宋体" w:hAnsi="宋体" w:cs="宋体"/>
          <w:sz w:val="24"/>
          <w:szCs w:val="24"/>
        </w:rPr>
        <w:t>已出席</w:t>
      </w:r>
      <w:proofErr w:type="gramEnd"/>
      <w:r w:rsidRPr="00CA00E9">
        <w:rPr>
          <w:rFonts w:ascii="宋体" w:eastAsia="宋体" w:hAnsi="宋体" w:cs="宋体"/>
          <w:sz w:val="24"/>
          <w:szCs w:val="24"/>
        </w:rPr>
        <w:t>了审议本报告的董事会会议。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非标准审计意见提示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 xml:space="preserve">□适用 </w:t>
      </w:r>
      <w:r w:rsidRPr="00CA00E9">
        <w:rPr>
          <w:rFonts w:ascii="宋体" w:eastAsia="宋体" w:hAnsi="宋体" w:cs="宋体"/>
          <w:sz w:val="24"/>
          <w:szCs w:val="24"/>
        </w:rPr>
        <w:sym w:font="Wingdings 2" w:char="F052"/>
      </w:r>
      <w:r w:rsidRPr="00CA00E9">
        <w:rPr>
          <w:rFonts w:ascii="宋体" w:eastAsia="宋体" w:hAnsi="宋体" w:cs="宋体"/>
          <w:sz w:val="24"/>
          <w:szCs w:val="24"/>
        </w:rPr>
        <w:t>不适用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董事会审议的报告期利润分配预案或公积金转增股本预案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 xml:space="preserve">□适用 </w:t>
      </w:r>
      <w:r w:rsidRPr="00CA00E9">
        <w:rPr>
          <w:rFonts w:ascii="宋体" w:eastAsia="宋体" w:hAnsi="宋体" w:cs="宋体"/>
          <w:sz w:val="24"/>
          <w:szCs w:val="24"/>
        </w:rPr>
        <w:sym w:font="Wingdings 2" w:char="F052"/>
      </w:r>
      <w:r w:rsidRPr="00CA00E9">
        <w:rPr>
          <w:rFonts w:ascii="宋体" w:eastAsia="宋体" w:hAnsi="宋体" w:cs="宋体"/>
          <w:sz w:val="24"/>
          <w:szCs w:val="24"/>
        </w:rPr>
        <w:t>不适用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公司计划</w:t>
      </w:r>
      <w:proofErr w:type="gramStart"/>
      <w:r w:rsidRPr="00CA00E9">
        <w:rPr>
          <w:rFonts w:ascii="宋体" w:eastAsia="宋体" w:hAnsi="宋体" w:cs="宋体"/>
          <w:sz w:val="24"/>
          <w:szCs w:val="24"/>
        </w:rPr>
        <w:t>不</w:t>
      </w:r>
      <w:proofErr w:type="gramEnd"/>
      <w:r w:rsidRPr="00CA00E9">
        <w:rPr>
          <w:rFonts w:ascii="宋体" w:eastAsia="宋体" w:hAnsi="宋体" w:cs="宋体"/>
          <w:sz w:val="24"/>
          <w:szCs w:val="24"/>
        </w:rPr>
        <w:t>派发现金红利，不送红股，不以公积金转增股本。</w:t>
      </w:r>
    </w:p>
    <w:p w:rsidR="00B63700" w:rsidRPr="00CA00E9" w:rsidRDefault="009C282D" w:rsidP="000571C4">
      <w:pPr>
        <w:widowControl/>
        <w:spacing w:line="360" w:lineRule="auto"/>
        <w:divId w:val="1894997531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截至报告期末，母公司未弥补亏损为-</w:t>
      </w:r>
      <w:r>
        <w:rPr>
          <w:rFonts w:ascii="宋体" w:eastAsia="宋体" w:hAnsi="宋体"/>
          <w:sz w:val="24"/>
          <w:szCs w:val="24"/>
        </w:rPr>
        <w:t>30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56</w:t>
      </w:r>
      <w:r>
        <w:rPr>
          <w:rFonts w:ascii="宋体" w:eastAsia="宋体" w:hAnsi="宋体" w:hint="eastAsia"/>
          <w:sz w:val="24"/>
          <w:szCs w:val="24"/>
        </w:rPr>
        <w:t>亿元</w:t>
      </w:r>
      <w:r w:rsidR="00EB556F" w:rsidRPr="00CA00E9">
        <w:rPr>
          <w:rFonts w:ascii="宋体" w:eastAsia="宋体" w:hAnsi="宋体" w:hint="eastAsia"/>
          <w:sz w:val="24"/>
          <w:szCs w:val="24"/>
        </w:rPr>
        <w:t>，公司2025年度不进行利润分配，对公司2025年度分红无影响。</w:t>
      </w:r>
    </w:p>
    <w:p w:rsidR="00005B90" w:rsidRDefault="00EB556F">
      <w:pPr>
        <w:pStyle w:val="2"/>
        <w:spacing w:before="300" w:after="300" w:line="320" w:lineRule="exact"/>
        <w:rPr>
          <w:rFonts w:ascii="宋体" w:eastAsia="宋体" w:hAnsi="宋体" w:cs="宋体"/>
          <w:b/>
          <w:bCs/>
          <w:sz w:val="24"/>
          <w:szCs w:val="24"/>
        </w:rPr>
      </w:pPr>
      <w:bookmarkStart w:id="1" w:name="_Toc988890"/>
      <w:r>
        <w:rPr>
          <w:rFonts w:ascii="宋体" w:eastAsia="宋体" w:hAnsi="宋体" w:cs="宋体"/>
          <w:b/>
          <w:bCs/>
          <w:sz w:val="24"/>
          <w:szCs w:val="24"/>
        </w:rPr>
        <w:t>二、公司基本情况</w:t>
      </w:r>
      <w:bookmarkEnd w:id="1"/>
    </w:p>
    <w:p w:rsidR="00005B90" w:rsidRPr="00CA00E9" w:rsidRDefault="00EB556F">
      <w:pPr>
        <w:pStyle w:val="3"/>
        <w:spacing w:line="280" w:lineRule="exact"/>
        <w:jc w:val="left"/>
        <w:rPr>
          <w:rFonts w:ascii="宋体" w:hAnsi="宋体" w:cs="宋体"/>
          <w:b/>
          <w:bCs/>
          <w:sz w:val="24"/>
          <w:szCs w:val="24"/>
        </w:rPr>
      </w:pPr>
      <w:bookmarkStart w:id="2" w:name="_Toc988891"/>
      <w:r w:rsidRPr="00CA00E9">
        <w:rPr>
          <w:rFonts w:ascii="宋体" w:hAnsi="宋体" w:cs="宋体"/>
          <w:b/>
          <w:bCs/>
          <w:sz w:val="24"/>
          <w:szCs w:val="24"/>
        </w:rPr>
        <w:t>1、公司简介</w:t>
      </w:r>
      <w:bookmarkEnd w:id="2"/>
    </w:p>
    <w:tbl>
      <w:tblPr>
        <w:tblW w:w="9387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149"/>
        <w:gridCol w:w="1480"/>
        <w:gridCol w:w="1497"/>
      </w:tblGrid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股票简称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中利集团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股票代码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002309</w:t>
            </w:r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股票上市交易所</w:t>
            </w:r>
          </w:p>
        </w:tc>
        <w:tc>
          <w:tcPr>
            <w:tcW w:w="6126" w:type="dxa"/>
            <w:gridSpan w:val="3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深圳证券交易所</w:t>
            </w:r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变更前的股票简称（如有）</w:t>
            </w:r>
          </w:p>
        </w:tc>
        <w:tc>
          <w:tcPr>
            <w:tcW w:w="6126" w:type="dxa"/>
            <w:gridSpan w:val="3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不适用</w:t>
            </w:r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联系人和联系方式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董事会秘书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证券事务代表</w:t>
            </w:r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姓名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廖嘉琦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proofErr w:type="gramStart"/>
            <w:r w:rsidRPr="00ED119E">
              <w:rPr>
                <w:rFonts w:ascii="宋体" w:eastAsia="宋体" w:hAnsi="宋体" w:cs="宋体"/>
                <w:szCs w:val="18"/>
              </w:rPr>
              <w:t>周玲</w:t>
            </w:r>
            <w:proofErr w:type="gramEnd"/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办公地址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江苏省常熟东南经济开发区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江苏省常熟东南经济开发区</w:t>
            </w:r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传真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0512-52572288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0512-52572288</w:t>
            </w:r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电话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0512-52571188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0512-52571188</w:t>
            </w:r>
          </w:p>
        </w:tc>
      </w:tr>
      <w:tr w:rsidR="00005B90" w:rsidRPr="00ED119E" w:rsidTr="00DD1A7C">
        <w:trPr>
          <w:trHeight w:val="240"/>
        </w:trPr>
        <w:tc>
          <w:tcPr>
            <w:tcW w:w="3261" w:type="dxa"/>
            <w:shd w:val="clear" w:color="auto" w:fill="auto"/>
            <w:vAlign w:val="center"/>
          </w:tcPr>
          <w:p w:rsidR="00005B90" w:rsidRPr="00ED119E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电子信箱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zhonglidm@zhongli.com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005B90" w:rsidRPr="00ED119E" w:rsidRDefault="00EB556F">
            <w:pPr>
              <w:spacing w:line="240" w:lineRule="exact"/>
              <w:rPr>
                <w:rFonts w:ascii="宋体" w:eastAsia="宋体" w:hAnsi="宋体" w:cs="宋体"/>
                <w:szCs w:val="18"/>
              </w:rPr>
            </w:pPr>
            <w:r w:rsidRPr="00ED119E">
              <w:rPr>
                <w:rFonts w:ascii="宋体" w:eastAsia="宋体" w:hAnsi="宋体" w:cs="宋体"/>
                <w:szCs w:val="18"/>
              </w:rPr>
              <w:t>zhonglidm@zhongli.com</w:t>
            </w:r>
          </w:p>
        </w:tc>
      </w:tr>
    </w:tbl>
    <w:p w:rsidR="00005B90" w:rsidRPr="00CA00E9" w:rsidRDefault="00EB556F" w:rsidP="00CA00E9">
      <w:pPr>
        <w:pStyle w:val="3"/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bookmarkStart w:id="3" w:name="_Toc988892"/>
      <w:r w:rsidRPr="00CA00E9">
        <w:rPr>
          <w:rFonts w:ascii="宋体" w:hAnsi="宋体" w:cs="宋体"/>
          <w:b/>
          <w:bCs/>
          <w:sz w:val="24"/>
          <w:szCs w:val="24"/>
        </w:rPr>
        <w:t>2、报告期主要业务或产品简介</w:t>
      </w:r>
      <w:bookmarkEnd w:id="3"/>
    </w:p>
    <w:p w:rsidR="00C816D5" w:rsidRPr="00C816D5" w:rsidRDefault="00C816D5" w:rsidP="00C816D5">
      <w:pPr>
        <w:widowControl/>
        <w:spacing w:line="360" w:lineRule="auto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报告期内，公司仍然保持“一体两翼”特种线缆+光伏的业务体系架构。</w:t>
      </w:r>
    </w:p>
    <w:p w:rsidR="00C816D5" w:rsidRPr="00C816D5" w:rsidRDefault="00C816D5" w:rsidP="00C816D5">
      <w:pPr>
        <w:widowControl/>
        <w:spacing w:line="360" w:lineRule="auto"/>
        <w:ind w:firstLine="420"/>
        <w:jc w:val="both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1.线缆业务</w:t>
      </w:r>
    </w:p>
    <w:p w:rsidR="00C816D5" w:rsidRPr="00C816D5" w:rsidRDefault="00C816D5" w:rsidP="00C816D5">
      <w:pPr>
        <w:widowControl/>
        <w:spacing w:line="360" w:lineRule="auto"/>
        <w:ind w:firstLine="420"/>
        <w:jc w:val="both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公司是国内特种线缆领域集研发、生产与销售于一体的专业化制造商之一，始终致力于为多元复杂场景提供高性能、高可靠性的线缆产品。公司产品体系涵盖阻燃耐火软电缆、舰船用电缆、高铁及铁路信号线缆、新能源汽车及充电桩线缆、液冷电缆、光伏电缆、数据通信线缆、海洋工程平台用电缆及光电复合缆等众多品类，全面满足数据通信、轨道交通、船舶制造、海洋工程、新能源等特定应用场景对线缆性能的严苛要求。</w:t>
      </w:r>
    </w:p>
    <w:p w:rsidR="00C816D5" w:rsidRPr="00C816D5" w:rsidRDefault="00C816D5" w:rsidP="00C816D5">
      <w:pPr>
        <w:widowControl/>
        <w:spacing w:line="360" w:lineRule="auto"/>
        <w:ind w:firstLine="420"/>
        <w:jc w:val="both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公司持续推进线缆业务在销售区域和应用领域的双向拓展，构建起覆盖全国并辐射澳洲、欧美、东南亚、中东、非洲等海外重点市场的业务版图。公司紧跟市场需求演进，不断拓宽产品应用边界，自主研发的充电桩大功率液冷电缆凭借高功率传输性能、优异耐高温特性及长久耐用等突出表现，赢得海外客户广泛认可，充分彰显了公司在高附加值特种线缆领域的技术实力与市场竞争力。</w:t>
      </w:r>
    </w:p>
    <w:p w:rsidR="00C816D5" w:rsidRPr="00C816D5" w:rsidRDefault="00C816D5" w:rsidP="00C816D5">
      <w:pPr>
        <w:widowControl/>
        <w:spacing w:line="360" w:lineRule="auto"/>
        <w:ind w:firstLine="420"/>
        <w:jc w:val="both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在经营模式上，公司依托公开招标、邀请招标、竞争性谈判及战略合作等多元化渠道获取订单，并严格贯彻“以销定产”的精益生产原则。公司结合产能布局与区位优势，协调各子公司按订单需求组织生产与配套物流，形成了高效协同的供应链体系。该模式不仅有效降低库存风险、提升运营效率，更强化了对客户需求的快速响应能力，助力提升客户黏性与市场拓展能力，为公司持续深耕特种线缆领域奠定了坚实基础。</w:t>
      </w:r>
    </w:p>
    <w:p w:rsidR="00C816D5" w:rsidRPr="00C816D5" w:rsidRDefault="00C816D5" w:rsidP="00C816D5">
      <w:pPr>
        <w:widowControl/>
        <w:spacing w:line="360" w:lineRule="auto"/>
        <w:ind w:firstLine="420"/>
        <w:jc w:val="both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2.光伏业务</w:t>
      </w:r>
    </w:p>
    <w:p w:rsidR="00C816D5" w:rsidRPr="00C816D5" w:rsidRDefault="00C816D5" w:rsidP="00C816D5">
      <w:pPr>
        <w:widowControl/>
        <w:spacing w:line="360" w:lineRule="auto"/>
        <w:ind w:firstLine="420"/>
        <w:jc w:val="both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公司深耕单晶高效光伏电池及大尺寸组件的研发、生产与销售，致力于为全球客户提供性能卓越、品质可靠的光伏产品。公司光伏产品覆盖P型单面、双面及轻质组件，以及全系N型</w:t>
      </w:r>
      <w:proofErr w:type="spell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TOPCon</w:t>
      </w:r>
      <w:proofErr w:type="spell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组件，能够全面满足分布式光伏、大型地面电站等主流应用场景对功率输出与安装适配的多元需求。</w:t>
      </w:r>
    </w:p>
    <w:p w:rsidR="00C816D5" w:rsidRPr="00C816D5" w:rsidRDefault="00C816D5" w:rsidP="00C816D5">
      <w:pPr>
        <w:widowControl/>
        <w:spacing w:line="360" w:lineRule="auto"/>
        <w:ind w:firstLine="420"/>
        <w:jc w:val="both"/>
        <w:divId w:val="847794462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公司依托自建的全球营销服务网络，并结合控股股东的供应链资源优势，构建起高效协同的销售与服务体系。公司以“腾晖”品牌为核心，向海内外客户提供从售前技术支持到售后运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维保障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的一站式服务，持续提升客户体验与品牌影响力。同时，公司积极与BC、HJT技术领域的行业领军企业建立战略合作，通过融合前沿技术优势与自身市场资源，加速新技术的商业化量产与市场推广，实现对市场需求的快速响应，进一步增强核心竞争力。</w:t>
      </w:r>
    </w:p>
    <w:p w:rsidR="005956CC" w:rsidRPr="00C816D5" w:rsidRDefault="00C816D5" w:rsidP="00C816D5">
      <w:pPr>
        <w:pStyle w:val="a3"/>
        <w:spacing w:before="0" w:beforeAutospacing="0" w:after="0" w:afterAutospacing="0" w:line="360" w:lineRule="auto"/>
        <w:ind w:firstLine="420"/>
        <w:jc w:val="both"/>
        <w:divId w:val="847794462"/>
      </w:pPr>
      <w:r w:rsidRPr="00C816D5">
        <w:rPr>
          <w:rFonts w:cs="Times New Roman" w:hint="eastAsia"/>
          <w:kern w:val="2"/>
          <w14:ligatures w14:val="standardContextual"/>
        </w:rPr>
        <w:t>公司在深耕光</w:t>
      </w:r>
      <w:proofErr w:type="gramStart"/>
      <w:r w:rsidRPr="00C816D5">
        <w:rPr>
          <w:rFonts w:cs="Times New Roman" w:hint="eastAsia"/>
          <w:kern w:val="2"/>
          <w14:ligatures w14:val="standardContextual"/>
        </w:rPr>
        <w:t>伏制造</w:t>
      </w:r>
      <w:proofErr w:type="gramEnd"/>
      <w:r w:rsidRPr="00C816D5">
        <w:rPr>
          <w:rFonts w:cs="Times New Roman" w:hint="eastAsia"/>
          <w:kern w:val="2"/>
          <w14:ligatures w14:val="standardContextual"/>
        </w:rPr>
        <w:t>的基础上积极向产业链下游延伸，持有电力工程施工总承包二级资质及新能源专业乙级设计资质，具备承接各类型光伏电站EPC总包工程及运维服务的专业能力。公司明确“产品+光储系统+服务”一体化发展战略，依托光</w:t>
      </w:r>
      <w:proofErr w:type="gramStart"/>
      <w:r w:rsidRPr="00C816D5">
        <w:rPr>
          <w:rFonts w:cs="Times New Roman" w:hint="eastAsia"/>
          <w:kern w:val="2"/>
          <w14:ligatures w14:val="standardContextual"/>
        </w:rPr>
        <w:t>伏制造</w:t>
      </w:r>
      <w:proofErr w:type="gramEnd"/>
      <w:r w:rsidRPr="00C816D5">
        <w:rPr>
          <w:rFonts w:cs="Times New Roman" w:hint="eastAsia"/>
          <w:kern w:val="2"/>
          <w14:ligatures w14:val="standardContextual"/>
        </w:rPr>
        <w:t>与渠道优势，聚焦工</w:t>
      </w:r>
      <w:r w:rsidRPr="00C816D5">
        <w:rPr>
          <w:rFonts w:cs="Times New Roman" w:hint="eastAsia"/>
          <w:kern w:val="2"/>
          <w14:ligatures w14:val="standardContextual"/>
        </w:rPr>
        <w:lastRenderedPageBreak/>
        <w:t>商业分布式、户用分布式及集中式地面电站的开发建设，并配套提供储能系统解决方案。公司通过持续推动技术创新与产品迭代，着力打造“光伏+储能”综合能源系统解决方案，致力于成为绿色能源领域的综合服务商与价值创造者。</w:t>
      </w:r>
    </w:p>
    <w:p w:rsidR="00005B90" w:rsidRPr="00CA00E9" w:rsidRDefault="00EB556F">
      <w:pPr>
        <w:pStyle w:val="3"/>
        <w:spacing w:line="280" w:lineRule="exact"/>
        <w:jc w:val="left"/>
        <w:rPr>
          <w:rFonts w:ascii="宋体" w:hAnsi="宋体" w:cs="宋体"/>
          <w:b/>
          <w:bCs/>
          <w:sz w:val="24"/>
          <w:szCs w:val="24"/>
        </w:rPr>
      </w:pPr>
      <w:bookmarkStart w:id="4" w:name="_Toc988893"/>
      <w:r w:rsidRPr="00CA00E9">
        <w:rPr>
          <w:rFonts w:ascii="宋体" w:hAnsi="宋体" w:cs="宋体"/>
          <w:b/>
          <w:bCs/>
          <w:sz w:val="24"/>
          <w:szCs w:val="24"/>
        </w:rPr>
        <w:t>3、主要会计数据和财务指标</w:t>
      </w:r>
      <w:bookmarkEnd w:id="4"/>
    </w:p>
    <w:p w:rsidR="00005B90" w:rsidRPr="00CA00E9" w:rsidRDefault="00EB556F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24"/>
          <w:szCs w:val="24"/>
        </w:rPr>
      </w:pPr>
      <w:bookmarkStart w:id="5" w:name="_Toc988894"/>
      <w:r w:rsidRPr="00CA00E9">
        <w:rPr>
          <w:rFonts w:ascii="宋体" w:eastAsia="宋体" w:hAnsi="宋体" w:cs="宋体"/>
          <w:b/>
          <w:bCs/>
          <w:sz w:val="24"/>
          <w:szCs w:val="24"/>
        </w:rPr>
        <w:t>（1） 近三年主要会计数据和财务指标</w:t>
      </w:r>
      <w:bookmarkEnd w:id="5"/>
    </w:p>
    <w:p w:rsidR="00005B90" w:rsidRPr="00CA00E9" w:rsidRDefault="00EB556F" w:rsidP="00E30140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公司是否需追溯调整或重述以前年度会计数据</w:t>
      </w:r>
    </w:p>
    <w:p w:rsidR="00005B90" w:rsidRPr="00CA00E9" w:rsidRDefault="00EB556F">
      <w:pPr>
        <w:spacing w:before="100" w:after="100" w:line="240" w:lineRule="exact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 xml:space="preserve">□是 </w:t>
      </w:r>
      <w:r w:rsidRPr="00CA00E9">
        <w:rPr>
          <w:rFonts w:ascii="宋体" w:eastAsia="宋体" w:hAnsi="宋体" w:cs="宋体"/>
          <w:sz w:val="24"/>
          <w:szCs w:val="24"/>
        </w:rPr>
        <w:sym w:font="Wingdings 2" w:char="F052"/>
      </w:r>
      <w:r w:rsidRPr="00CA00E9">
        <w:rPr>
          <w:rFonts w:ascii="宋体" w:eastAsia="宋体" w:hAnsi="宋体" w:cs="宋体"/>
          <w:sz w:val="24"/>
          <w:szCs w:val="24"/>
        </w:rPr>
        <w:t>否</w:t>
      </w:r>
    </w:p>
    <w:p w:rsidR="00005B90" w:rsidRPr="00DD1A7C" w:rsidRDefault="00EB556F">
      <w:pPr>
        <w:spacing w:before="120" w:after="120" w:line="240" w:lineRule="exact"/>
        <w:jc w:val="right"/>
        <w:rPr>
          <w:rFonts w:ascii="宋体" w:eastAsia="宋体" w:hAnsi="宋体" w:cs="宋体"/>
          <w:szCs w:val="24"/>
        </w:rPr>
      </w:pPr>
      <w:r w:rsidRPr="00DD1A7C">
        <w:rPr>
          <w:rFonts w:ascii="宋体" w:eastAsia="宋体" w:hAnsi="宋体" w:cs="宋体"/>
          <w:szCs w:val="24"/>
        </w:rPr>
        <w:t>单位：元</w:t>
      </w:r>
    </w:p>
    <w:tbl>
      <w:tblPr>
        <w:tblW w:w="9614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6"/>
        <w:gridCol w:w="2015"/>
        <w:gridCol w:w="2126"/>
        <w:gridCol w:w="1387"/>
        <w:gridCol w:w="2070"/>
      </w:tblGrid>
      <w:tr w:rsidR="00005B90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005B90" w:rsidRPr="00DD1A7C" w:rsidRDefault="00005B90"/>
        </w:tc>
        <w:tc>
          <w:tcPr>
            <w:tcW w:w="2015" w:type="dxa"/>
            <w:shd w:val="clear" w:color="auto" w:fill="auto"/>
            <w:vAlign w:val="center"/>
          </w:tcPr>
          <w:p w:rsidR="00005B90" w:rsidRPr="00DD1A7C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2025年末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5B90" w:rsidRPr="00DD1A7C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2024年末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005B90" w:rsidRPr="00DD1A7C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本年末比上年末增减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005B90" w:rsidRPr="00DD1A7C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2023年末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总资产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4,600,641,649.29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5,524,164,637.48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-16.72%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7,712,405,206.77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归属于上市公司股东的净资产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1,826,630,911.31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1,420,101,526.57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28.63%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-558,303,262.46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/>
        </w:tc>
        <w:tc>
          <w:tcPr>
            <w:tcW w:w="2015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2025年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2024年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本年比上年增减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2023年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营业收入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2,341,117,305.55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2,357,979,747.56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-0.72%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4,051,283,736.03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归属于上市公司股东的净利润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-56,964,953.58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-1,174,126,055.60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95.15%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-1,496,533,239.05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归属于上市公司股东的扣除非经常性损益的净利润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-314,226,950.13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-2,251,778,068.46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86.05%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-1,302,800,824.40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经营活动产生的现金流量净额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552,205,494.95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-659,205,323.72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183.77%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289,661,826.87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基本每股收益（元/股）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-0.02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-0.46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95.65%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-0.58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稀释每股收益（元/股）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-0.02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-0.46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95.65%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-0.58</w:t>
            </w:r>
          </w:p>
        </w:tc>
      </w:tr>
      <w:tr w:rsidR="005956CC" w:rsidRPr="00DD1A7C" w:rsidTr="00DD1A7C">
        <w:trPr>
          <w:trHeight w:val="240"/>
        </w:trPr>
        <w:tc>
          <w:tcPr>
            <w:tcW w:w="2016" w:type="dxa"/>
            <w:shd w:val="clear" w:color="auto" w:fill="auto"/>
            <w:vAlign w:val="center"/>
          </w:tcPr>
          <w:p w:rsidR="005956CC" w:rsidRPr="00DD1A7C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/>
                <w:szCs w:val="18"/>
              </w:rPr>
              <w:t>加权平均净资产收益率</w:t>
            </w:r>
          </w:p>
        </w:tc>
        <w:tc>
          <w:tcPr>
            <w:tcW w:w="2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-3.32%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76" w:lineRule="auto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不适用</w:t>
            </w:r>
            <w:r w:rsidRPr="00DD1A7C">
              <w:rPr>
                <w:rFonts w:ascii="Times New Roman" w:eastAsia="宋体" w:hAnsi="Times New Roman" w:cs="Times New Roman"/>
                <w:color w:val="F00000"/>
                <w:vertAlign w:val="superscript"/>
              </w:rPr>
              <w:t>1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76" w:lineRule="auto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不适用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DD1A7C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DD1A7C">
              <w:rPr>
                <w:rFonts w:ascii="宋体" w:eastAsia="宋体" w:hAnsi="宋体" w:cs="宋体" w:hint="eastAsia"/>
                <w:szCs w:val="18"/>
              </w:rPr>
              <w:t>-671.01%</w:t>
            </w:r>
          </w:p>
        </w:tc>
      </w:tr>
    </w:tbl>
    <w:p w:rsidR="005956CC" w:rsidRPr="00E30140" w:rsidRDefault="005956CC" w:rsidP="005956CC">
      <w:pPr>
        <w:pStyle w:val="a3"/>
        <w:spacing w:before="0" w:beforeAutospacing="0" w:after="0" w:afterAutospacing="0"/>
        <w:ind w:firstLine="420"/>
        <w:jc w:val="both"/>
        <w:rPr>
          <w:kern w:val="2"/>
          <w:sz w:val="21"/>
          <w:szCs w:val="18"/>
        </w:rPr>
      </w:pPr>
      <w:bookmarkStart w:id="6" w:name="_Toc988895"/>
      <w:r w:rsidRPr="00E30140">
        <w:rPr>
          <w:rFonts w:hint="eastAsia"/>
          <w:kern w:val="2"/>
          <w:sz w:val="21"/>
          <w:szCs w:val="18"/>
        </w:rPr>
        <w:t>注</w:t>
      </w:r>
      <w:r w:rsidRPr="00E30140">
        <w:rPr>
          <w:kern w:val="2"/>
          <w:sz w:val="21"/>
          <w:szCs w:val="18"/>
        </w:rPr>
        <w:t>1 公司2024年度归属于公司普通股股东的净利润为-1,174,126,055.60元，加权平均净资产为-1,152,107,163.32元。因此无法正常计算加权平均净资产收益率。</w:t>
      </w:r>
    </w:p>
    <w:p w:rsidR="00005B90" w:rsidRPr="00CA00E9" w:rsidRDefault="00EB556F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24"/>
          <w:szCs w:val="24"/>
        </w:rPr>
      </w:pPr>
      <w:r w:rsidRPr="00CA00E9">
        <w:rPr>
          <w:rFonts w:ascii="宋体" w:eastAsia="宋体" w:hAnsi="宋体" w:cs="宋体"/>
          <w:b/>
          <w:bCs/>
          <w:sz w:val="24"/>
          <w:szCs w:val="24"/>
        </w:rPr>
        <w:t>（2） 分季度主要会计数据</w:t>
      </w:r>
      <w:bookmarkEnd w:id="6"/>
    </w:p>
    <w:p w:rsidR="00005B90" w:rsidRPr="00E30140" w:rsidRDefault="00EB556F">
      <w:pPr>
        <w:spacing w:before="120" w:after="120" w:line="240" w:lineRule="exact"/>
        <w:jc w:val="right"/>
        <w:rPr>
          <w:rFonts w:ascii="宋体" w:eastAsia="宋体" w:hAnsi="宋体" w:cs="宋体"/>
          <w:szCs w:val="24"/>
        </w:rPr>
      </w:pPr>
      <w:r w:rsidRPr="00E30140">
        <w:rPr>
          <w:rFonts w:ascii="宋体" w:eastAsia="宋体" w:hAnsi="宋体" w:cs="宋体"/>
          <w:szCs w:val="24"/>
        </w:rPr>
        <w:t>单位：元</w:t>
      </w:r>
    </w:p>
    <w:tbl>
      <w:tblPr>
        <w:tblW w:w="967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790"/>
        <w:gridCol w:w="1846"/>
        <w:gridCol w:w="1981"/>
        <w:gridCol w:w="2126"/>
      </w:tblGrid>
      <w:tr w:rsidR="00005B90" w:rsidRPr="00E30140" w:rsidTr="00077F63">
        <w:trPr>
          <w:trHeight w:val="240"/>
        </w:trPr>
        <w:tc>
          <w:tcPr>
            <w:tcW w:w="1927" w:type="dxa"/>
            <w:shd w:val="clear" w:color="auto" w:fill="auto"/>
            <w:vAlign w:val="center"/>
          </w:tcPr>
          <w:p w:rsidR="00005B90" w:rsidRPr="00E30140" w:rsidRDefault="00005B90"/>
        </w:tc>
        <w:tc>
          <w:tcPr>
            <w:tcW w:w="1790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t>第一季度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t>第二季度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t>第三季度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t>第四季度</w:t>
            </w:r>
          </w:p>
        </w:tc>
      </w:tr>
      <w:tr w:rsidR="005956CC" w:rsidRPr="00E30140" w:rsidTr="00077F63">
        <w:trPr>
          <w:trHeight w:val="240"/>
        </w:trPr>
        <w:tc>
          <w:tcPr>
            <w:tcW w:w="1927" w:type="dxa"/>
            <w:shd w:val="clear" w:color="auto" w:fill="auto"/>
            <w:vAlign w:val="center"/>
          </w:tcPr>
          <w:p w:rsidR="005956CC" w:rsidRPr="00E30140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t>营业收入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312,448,983.17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524,800,652.21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520,750,486.48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983,117,183.69</w:t>
            </w:r>
          </w:p>
        </w:tc>
      </w:tr>
      <w:tr w:rsidR="005956CC" w:rsidRPr="00E30140" w:rsidTr="00077F63">
        <w:trPr>
          <w:trHeight w:val="240"/>
        </w:trPr>
        <w:tc>
          <w:tcPr>
            <w:tcW w:w="1927" w:type="dxa"/>
            <w:shd w:val="clear" w:color="auto" w:fill="auto"/>
            <w:vAlign w:val="center"/>
          </w:tcPr>
          <w:p w:rsidR="005956CC" w:rsidRPr="00E30140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t>归属于上市公司股东的净利润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-77,007,571.44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5,790,543.12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-69,128,810.86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83,380,885.60</w:t>
            </w:r>
          </w:p>
        </w:tc>
      </w:tr>
      <w:tr w:rsidR="005956CC" w:rsidRPr="00E30140" w:rsidTr="00077F63">
        <w:trPr>
          <w:trHeight w:val="240"/>
        </w:trPr>
        <w:tc>
          <w:tcPr>
            <w:tcW w:w="1927" w:type="dxa"/>
            <w:shd w:val="clear" w:color="auto" w:fill="auto"/>
            <w:vAlign w:val="center"/>
          </w:tcPr>
          <w:p w:rsidR="005956CC" w:rsidRPr="00E30140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t>归属于上市公司股东的扣除非经常性</w:t>
            </w:r>
            <w:r w:rsidRPr="00E30140">
              <w:rPr>
                <w:rFonts w:ascii="宋体" w:eastAsia="宋体" w:hAnsi="宋体" w:cs="宋体"/>
                <w:szCs w:val="18"/>
              </w:rPr>
              <w:lastRenderedPageBreak/>
              <w:t>损益的净利润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lastRenderedPageBreak/>
              <w:t>-78,380,475.25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-29,192,655.42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-83,152,906.35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-123,500,913.11</w:t>
            </w:r>
          </w:p>
        </w:tc>
      </w:tr>
      <w:tr w:rsidR="005956CC" w:rsidRPr="00E30140" w:rsidTr="00077F63">
        <w:trPr>
          <w:trHeight w:val="240"/>
        </w:trPr>
        <w:tc>
          <w:tcPr>
            <w:tcW w:w="1927" w:type="dxa"/>
            <w:shd w:val="clear" w:color="auto" w:fill="auto"/>
            <w:vAlign w:val="center"/>
          </w:tcPr>
          <w:p w:rsidR="005956CC" w:rsidRPr="00E30140" w:rsidRDefault="005956CC" w:rsidP="005956CC">
            <w:pPr>
              <w:spacing w:before="40" w:after="40" w:line="240" w:lineRule="exac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/>
                <w:szCs w:val="18"/>
              </w:rPr>
              <w:lastRenderedPageBreak/>
              <w:t>经营活动产生的现金流量净额</w:t>
            </w:r>
          </w:p>
        </w:tc>
        <w:tc>
          <w:tcPr>
            <w:tcW w:w="17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563,625,618.68</w:t>
            </w:r>
          </w:p>
        </w:tc>
        <w:tc>
          <w:tcPr>
            <w:tcW w:w="18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139,308,533.68</w:t>
            </w:r>
          </w:p>
        </w:tc>
        <w:tc>
          <w:tcPr>
            <w:tcW w:w="1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338,255,932.66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956CC" w:rsidRPr="00E30140" w:rsidRDefault="005956CC" w:rsidP="005956CC">
            <w:pPr>
              <w:spacing w:line="240" w:lineRule="exact"/>
              <w:jc w:val="right"/>
              <w:rPr>
                <w:rFonts w:ascii="宋体" w:eastAsia="宋体" w:hAnsi="宋体" w:cs="宋体"/>
                <w:szCs w:val="18"/>
              </w:rPr>
            </w:pPr>
            <w:r w:rsidRPr="00E30140">
              <w:rPr>
                <w:rFonts w:ascii="宋体" w:eastAsia="宋体" w:hAnsi="宋体" w:cs="宋体" w:hint="eastAsia"/>
                <w:szCs w:val="18"/>
              </w:rPr>
              <w:t>-488,984,590.07</w:t>
            </w:r>
          </w:p>
        </w:tc>
      </w:tr>
    </w:tbl>
    <w:p w:rsidR="00005B90" w:rsidRPr="00E30140" w:rsidRDefault="00EB556F" w:rsidP="00077F63">
      <w:pPr>
        <w:spacing w:before="100" w:after="100" w:line="360" w:lineRule="auto"/>
        <w:ind w:rightChars="-136" w:right="-286"/>
        <w:rPr>
          <w:rFonts w:ascii="宋体" w:eastAsia="宋体" w:hAnsi="宋体" w:cs="宋体"/>
          <w:sz w:val="24"/>
          <w:szCs w:val="24"/>
        </w:rPr>
      </w:pPr>
      <w:r w:rsidRPr="00E30140">
        <w:rPr>
          <w:rFonts w:ascii="宋体" w:eastAsia="宋体" w:hAnsi="宋体" w:cs="宋体"/>
          <w:sz w:val="24"/>
          <w:szCs w:val="24"/>
        </w:rPr>
        <w:t>上述财务指标或其加总数是否与公司已披露季度报告、半年度报告相关财务指标存在重大差异</w:t>
      </w:r>
    </w:p>
    <w:p w:rsidR="00005B90" w:rsidRPr="00E30140" w:rsidRDefault="00EB556F" w:rsidP="00077F63">
      <w:pPr>
        <w:spacing w:after="100" w:line="360" w:lineRule="auto"/>
        <w:rPr>
          <w:rFonts w:ascii="宋体" w:eastAsia="宋体" w:hAnsi="宋体" w:cs="宋体"/>
          <w:sz w:val="24"/>
          <w:szCs w:val="24"/>
        </w:rPr>
      </w:pPr>
      <w:r w:rsidRPr="00E30140">
        <w:rPr>
          <w:rFonts w:ascii="宋体" w:eastAsia="宋体" w:hAnsi="宋体" w:cs="宋体"/>
          <w:sz w:val="24"/>
          <w:szCs w:val="24"/>
        </w:rPr>
        <w:t xml:space="preserve">□是 </w:t>
      </w:r>
      <w:r w:rsidRPr="00E30140">
        <w:rPr>
          <w:rFonts w:ascii="宋体" w:eastAsia="宋体" w:hAnsi="宋体" w:cs="宋体"/>
          <w:sz w:val="24"/>
          <w:szCs w:val="24"/>
        </w:rPr>
        <w:sym w:font="Wingdings 2" w:char="F052"/>
      </w:r>
      <w:r w:rsidRPr="00E30140">
        <w:rPr>
          <w:rFonts w:ascii="宋体" w:eastAsia="宋体" w:hAnsi="宋体" w:cs="宋体"/>
          <w:sz w:val="24"/>
          <w:szCs w:val="24"/>
        </w:rPr>
        <w:t>否</w:t>
      </w:r>
    </w:p>
    <w:p w:rsidR="00005B90" w:rsidRPr="00CA00E9" w:rsidRDefault="00EB556F">
      <w:pPr>
        <w:pStyle w:val="3"/>
        <w:spacing w:line="280" w:lineRule="exact"/>
        <w:jc w:val="left"/>
        <w:rPr>
          <w:rFonts w:ascii="宋体" w:hAnsi="宋体" w:cs="宋体"/>
          <w:b/>
          <w:bCs/>
          <w:sz w:val="24"/>
          <w:szCs w:val="24"/>
        </w:rPr>
      </w:pPr>
      <w:bookmarkStart w:id="7" w:name="_Toc988896"/>
      <w:r w:rsidRPr="00CA00E9">
        <w:rPr>
          <w:rFonts w:ascii="宋体" w:hAnsi="宋体" w:cs="宋体"/>
          <w:b/>
          <w:bCs/>
          <w:sz w:val="24"/>
          <w:szCs w:val="24"/>
        </w:rPr>
        <w:t>4、股本及股东情况</w:t>
      </w:r>
      <w:bookmarkEnd w:id="7"/>
    </w:p>
    <w:p w:rsidR="00005B90" w:rsidRPr="00CA00E9" w:rsidRDefault="00EB556F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24"/>
          <w:szCs w:val="24"/>
        </w:rPr>
      </w:pPr>
      <w:bookmarkStart w:id="8" w:name="_Toc988897"/>
      <w:r w:rsidRPr="00CA00E9">
        <w:rPr>
          <w:rFonts w:ascii="宋体" w:eastAsia="宋体" w:hAnsi="宋体" w:cs="宋体"/>
          <w:b/>
          <w:bCs/>
          <w:sz w:val="24"/>
          <w:szCs w:val="24"/>
        </w:rPr>
        <w:t>（1） 普通股股东和表决权恢复的优先股股东数量及前10名股东持股情况表</w:t>
      </w:r>
      <w:bookmarkEnd w:id="8"/>
    </w:p>
    <w:p w:rsidR="00005B90" w:rsidRPr="00E30140" w:rsidRDefault="00EB556F">
      <w:pPr>
        <w:spacing w:before="40" w:after="40" w:line="240" w:lineRule="exact"/>
        <w:jc w:val="right"/>
        <w:rPr>
          <w:rFonts w:ascii="宋体" w:eastAsia="宋体" w:hAnsi="宋体" w:cs="宋体"/>
          <w:szCs w:val="24"/>
        </w:rPr>
      </w:pPr>
      <w:r w:rsidRPr="00E30140">
        <w:rPr>
          <w:rFonts w:ascii="宋体" w:eastAsia="宋体" w:hAnsi="宋体" w:cs="宋体"/>
          <w:szCs w:val="24"/>
        </w:rPr>
        <w:t>单位：股</w:t>
      </w:r>
    </w:p>
    <w:tbl>
      <w:tblPr>
        <w:tblW w:w="952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0"/>
        <w:gridCol w:w="1276"/>
        <w:gridCol w:w="10"/>
        <w:gridCol w:w="1265"/>
        <w:gridCol w:w="993"/>
        <w:gridCol w:w="1134"/>
        <w:gridCol w:w="472"/>
        <w:gridCol w:w="1071"/>
        <w:gridCol w:w="1071"/>
        <w:gridCol w:w="646"/>
      </w:tblGrid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报告期末普通股股东总数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58,189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年度报告披露日前一个月末普通股股东总数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270,538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报告期末表决权恢复的优先股股东总数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  <w:tc>
          <w:tcPr>
            <w:tcW w:w="2142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年度报告披露日前一个月末表决权恢复的优先股股东总数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 w:rsidP="00077F63">
            <w:pPr>
              <w:spacing w:line="240" w:lineRule="exact"/>
              <w:ind w:leftChars="-133" w:left="-279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9528" w:type="dxa"/>
            <w:gridSpan w:val="10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前10名股东持股情况（不含通过转融通出借股份）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vMerge w:val="restart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股东名称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股东性质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持股比例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持股数量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持有有限</w:t>
            </w:r>
            <w:proofErr w:type="gramStart"/>
            <w:r w:rsidRPr="00E30140">
              <w:rPr>
                <w:rFonts w:ascii="宋体" w:eastAsia="宋体" w:hAnsi="宋体" w:cs="宋体"/>
                <w:szCs w:val="21"/>
              </w:rPr>
              <w:t>售条件</w:t>
            </w:r>
            <w:proofErr w:type="gramEnd"/>
            <w:r w:rsidRPr="00E30140">
              <w:rPr>
                <w:rFonts w:ascii="宋体" w:eastAsia="宋体" w:hAnsi="宋体" w:cs="宋体"/>
                <w:szCs w:val="21"/>
              </w:rPr>
              <w:t>的股份数量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质押、标记或冻结情况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vMerge/>
            <w:shd w:val="clear" w:color="auto" w:fill="auto"/>
            <w:vAlign w:val="center"/>
          </w:tcPr>
          <w:p w:rsidR="00005B90" w:rsidRPr="00E30140" w:rsidRDefault="00005B90">
            <w:pPr>
              <w:rPr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05B90" w:rsidRPr="00E30140" w:rsidRDefault="00005B90">
            <w:pPr>
              <w:rPr>
                <w:szCs w:val="21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005B90" w:rsidRPr="00E30140" w:rsidRDefault="00005B90">
            <w:pPr>
              <w:rPr>
                <w:szCs w:val="21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005B90" w:rsidRPr="00E30140" w:rsidRDefault="00005B90">
            <w:pPr>
              <w:rPr>
                <w:szCs w:val="21"/>
              </w:rPr>
            </w:pPr>
          </w:p>
        </w:tc>
        <w:tc>
          <w:tcPr>
            <w:tcW w:w="1543" w:type="dxa"/>
            <w:gridSpan w:val="2"/>
            <w:vMerge/>
            <w:shd w:val="clear" w:color="auto" w:fill="auto"/>
            <w:vAlign w:val="center"/>
          </w:tcPr>
          <w:p w:rsidR="00005B90" w:rsidRPr="00E30140" w:rsidRDefault="00005B90">
            <w:pPr>
              <w:rPr>
                <w:szCs w:val="21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股份状态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数量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常熟光</w:t>
            </w:r>
            <w:proofErr w:type="gramStart"/>
            <w:r w:rsidRPr="00E30140">
              <w:rPr>
                <w:rFonts w:ascii="宋体" w:eastAsia="宋体" w:hAnsi="宋体" w:cs="宋体"/>
                <w:szCs w:val="21"/>
              </w:rPr>
              <w:t>晟</w:t>
            </w:r>
            <w:proofErr w:type="gramEnd"/>
            <w:r w:rsidRPr="00E30140">
              <w:rPr>
                <w:rFonts w:ascii="宋体" w:eastAsia="宋体" w:hAnsi="宋体" w:cs="宋体"/>
                <w:szCs w:val="21"/>
              </w:rPr>
              <w:t>新能源有限公司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境内非国有法人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20.00%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601,533,077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601,533,077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江苏中利集团股份有限公司破产企业财产处置专用账户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境内非国有法人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5.03%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151,286,208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杜月姣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境内自然人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4.99%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150,000,000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150,000,000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刘青科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境内自然人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2.93%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88,014,147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88,014,147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中国东方国际资产管理有限公司－中国东方收益增强基金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境外法人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2.84%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85,280,657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85,280,657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深圳市招平三号投资中心（有限合伙）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境内非国有法人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2.50%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75,092,013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75,092,013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湖北华楚国科十一号投资合伙企业（有限合伙）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境内非国有法人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2.34%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70,411,318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70,411,318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proofErr w:type="gramStart"/>
            <w:r w:rsidRPr="00E30140">
              <w:rPr>
                <w:rFonts w:ascii="宋体" w:eastAsia="宋体" w:hAnsi="宋体" w:cs="宋体"/>
                <w:szCs w:val="21"/>
              </w:rPr>
              <w:t>中建投租赁</w:t>
            </w:r>
            <w:proofErr w:type="gramEnd"/>
            <w:r w:rsidRPr="00E30140">
              <w:rPr>
                <w:rFonts w:ascii="宋体" w:eastAsia="宋体" w:hAnsi="宋体" w:cs="宋体"/>
                <w:szCs w:val="21"/>
              </w:rPr>
              <w:t>股份有限公司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境内非国有法人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2.06%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61,950,938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61,950,938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中国东方国际资产管理有限公司－稳健收益基金1号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境外法人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2.02%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60,847,675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60,847,675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1590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农银企航（苏州）私募基金管理有限公司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国有法人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1.99%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60,000,000</w:t>
            </w:r>
          </w:p>
        </w:tc>
        <w:tc>
          <w:tcPr>
            <w:tcW w:w="1543" w:type="dxa"/>
            <w:gridSpan w:val="2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60,000,000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jc w:val="righ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0</w:t>
            </w:r>
          </w:p>
        </w:tc>
      </w:tr>
      <w:tr w:rsidR="00005B90" w:rsidRPr="00E30140" w:rsidTr="00077F63">
        <w:trPr>
          <w:trHeight w:val="240"/>
        </w:trPr>
        <w:tc>
          <w:tcPr>
            <w:tcW w:w="2876" w:type="dxa"/>
            <w:gridSpan w:val="3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上述股东关联关系或一致行动的说明</w:t>
            </w:r>
          </w:p>
        </w:tc>
        <w:tc>
          <w:tcPr>
            <w:tcW w:w="6652" w:type="dxa"/>
            <w:gridSpan w:val="7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公司未知上述股东之间是否存在关联关系，也未知上述股东之间是否属于《上市公司收购管理办法》中规定的一致行动人。</w:t>
            </w:r>
          </w:p>
        </w:tc>
      </w:tr>
      <w:tr w:rsidR="00005B90" w:rsidRPr="00E30140" w:rsidTr="00077F63">
        <w:trPr>
          <w:trHeight w:val="240"/>
        </w:trPr>
        <w:tc>
          <w:tcPr>
            <w:tcW w:w="2876" w:type="dxa"/>
            <w:gridSpan w:val="3"/>
            <w:shd w:val="clear" w:color="auto" w:fill="auto"/>
            <w:vAlign w:val="center"/>
          </w:tcPr>
          <w:p w:rsidR="00005B90" w:rsidRPr="00E30140" w:rsidRDefault="00EB556F">
            <w:pPr>
              <w:spacing w:before="40" w:after="40"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lastRenderedPageBreak/>
              <w:t>参与融资融券业务股东情况说明（如有）</w:t>
            </w:r>
          </w:p>
        </w:tc>
        <w:tc>
          <w:tcPr>
            <w:tcW w:w="6652" w:type="dxa"/>
            <w:gridSpan w:val="7"/>
            <w:shd w:val="clear" w:color="auto" w:fill="auto"/>
            <w:vAlign w:val="center"/>
          </w:tcPr>
          <w:p w:rsidR="00005B90" w:rsidRPr="00E30140" w:rsidRDefault="00EB556F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 w:rsidRPr="00E30140">
              <w:rPr>
                <w:rFonts w:ascii="宋体" w:eastAsia="宋体" w:hAnsi="宋体" w:cs="宋体"/>
                <w:szCs w:val="21"/>
              </w:rPr>
              <w:t>不适用</w:t>
            </w:r>
          </w:p>
        </w:tc>
      </w:tr>
    </w:tbl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持股5%以上股东、前10名股东及前10名无限</w:t>
      </w:r>
      <w:proofErr w:type="gramStart"/>
      <w:r w:rsidRPr="00CA00E9">
        <w:rPr>
          <w:rFonts w:ascii="宋体" w:eastAsia="宋体" w:hAnsi="宋体" w:cs="宋体"/>
          <w:sz w:val="24"/>
          <w:szCs w:val="24"/>
        </w:rPr>
        <w:t>售流通</w:t>
      </w:r>
      <w:proofErr w:type="gramEnd"/>
      <w:r w:rsidRPr="00CA00E9">
        <w:rPr>
          <w:rFonts w:ascii="宋体" w:eastAsia="宋体" w:hAnsi="宋体" w:cs="宋体"/>
          <w:sz w:val="24"/>
          <w:szCs w:val="24"/>
        </w:rPr>
        <w:t>股股东参与转融通业务出借股份情况</w:t>
      </w:r>
    </w:p>
    <w:p w:rsidR="00005B90" w:rsidRPr="00CA00E9" w:rsidRDefault="00EB556F" w:rsidP="00CA00E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 xml:space="preserve">□适用 </w:t>
      </w:r>
      <w:r w:rsidRPr="00CA00E9">
        <w:rPr>
          <w:rFonts w:ascii="宋体" w:eastAsia="宋体" w:hAnsi="宋体" w:cs="宋体"/>
          <w:sz w:val="24"/>
          <w:szCs w:val="24"/>
        </w:rPr>
        <w:sym w:font="Wingdings 2" w:char="F052"/>
      </w:r>
      <w:r w:rsidRPr="00CA00E9">
        <w:rPr>
          <w:rFonts w:ascii="宋体" w:eastAsia="宋体" w:hAnsi="宋体" w:cs="宋体"/>
          <w:sz w:val="24"/>
          <w:szCs w:val="24"/>
        </w:rPr>
        <w:t>不适用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前10名股东及前10名无限</w:t>
      </w:r>
      <w:proofErr w:type="gramStart"/>
      <w:r w:rsidRPr="00CA00E9">
        <w:rPr>
          <w:rFonts w:ascii="宋体" w:eastAsia="宋体" w:hAnsi="宋体" w:cs="宋体"/>
          <w:sz w:val="24"/>
          <w:szCs w:val="24"/>
        </w:rPr>
        <w:t>售流通</w:t>
      </w:r>
      <w:proofErr w:type="gramEnd"/>
      <w:r w:rsidRPr="00CA00E9">
        <w:rPr>
          <w:rFonts w:ascii="宋体" w:eastAsia="宋体" w:hAnsi="宋体" w:cs="宋体"/>
          <w:sz w:val="24"/>
          <w:szCs w:val="24"/>
        </w:rPr>
        <w:t>股股东因转融通出借/归还原因导致较上期发生变化</w:t>
      </w:r>
    </w:p>
    <w:p w:rsidR="00005B90" w:rsidRPr="00CA00E9" w:rsidRDefault="00EB556F" w:rsidP="00CA00E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 xml:space="preserve">□适用 </w:t>
      </w:r>
      <w:r w:rsidRPr="00CA00E9">
        <w:rPr>
          <w:rFonts w:ascii="宋体" w:eastAsia="宋体" w:hAnsi="宋体" w:cs="宋体"/>
          <w:sz w:val="24"/>
          <w:szCs w:val="24"/>
        </w:rPr>
        <w:sym w:font="Wingdings 2" w:char="F052"/>
      </w:r>
      <w:r w:rsidRPr="00CA00E9">
        <w:rPr>
          <w:rFonts w:ascii="宋体" w:eastAsia="宋体" w:hAnsi="宋体" w:cs="宋体"/>
          <w:sz w:val="24"/>
          <w:szCs w:val="24"/>
        </w:rPr>
        <w:t>不适用</w:t>
      </w:r>
    </w:p>
    <w:p w:rsidR="00005B90" w:rsidRPr="00CA00E9" w:rsidRDefault="00EB556F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24"/>
          <w:szCs w:val="24"/>
        </w:rPr>
      </w:pPr>
      <w:bookmarkStart w:id="9" w:name="_Toc988898"/>
      <w:r w:rsidRPr="00CA00E9">
        <w:rPr>
          <w:rFonts w:ascii="宋体" w:eastAsia="宋体" w:hAnsi="宋体" w:cs="宋体"/>
          <w:b/>
          <w:bCs/>
          <w:sz w:val="24"/>
          <w:szCs w:val="24"/>
        </w:rPr>
        <w:t>（2） 公司优先股股东总数及前10名优先股股东持股情况表</w:t>
      </w:r>
      <w:bookmarkEnd w:id="9"/>
    </w:p>
    <w:p w:rsidR="00005B90" w:rsidRPr="00CA00E9" w:rsidRDefault="00EB556F" w:rsidP="00CA00E9">
      <w:pPr>
        <w:spacing w:before="40" w:after="4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 xml:space="preserve">□适用 </w:t>
      </w:r>
      <w:r w:rsidRPr="00CA00E9">
        <w:rPr>
          <w:rFonts w:ascii="宋体" w:eastAsia="宋体" w:hAnsi="宋体" w:cs="宋体"/>
          <w:sz w:val="24"/>
          <w:szCs w:val="24"/>
        </w:rPr>
        <w:sym w:font="Wingdings 2" w:char="F052"/>
      </w:r>
      <w:r w:rsidRPr="00CA00E9">
        <w:rPr>
          <w:rFonts w:ascii="宋体" w:eastAsia="宋体" w:hAnsi="宋体" w:cs="宋体"/>
          <w:sz w:val="24"/>
          <w:szCs w:val="24"/>
        </w:rPr>
        <w:t>不适用</w:t>
      </w:r>
    </w:p>
    <w:p w:rsidR="00005B90" w:rsidRPr="00CA00E9" w:rsidRDefault="00EB556F" w:rsidP="00CA00E9">
      <w:pPr>
        <w:spacing w:before="100" w:after="100" w:line="360" w:lineRule="auto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>公司报告期无优先股股东持股情况。</w:t>
      </w:r>
    </w:p>
    <w:p w:rsidR="00005B90" w:rsidRPr="00CA00E9" w:rsidRDefault="00EB556F">
      <w:pPr>
        <w:keepNext/>
        <w:keepLines/>
        <w:spacing w:before="300" w:after="300" w:line="280" w:lineRule="exact"/>
        <w:outlineLvl w:val="3"/>
        <w:rPr>
          <w:rFonts w:ascii="宋体" w:eastAsia="宋体" w:hAnsi="宋体" w:cs="宋体"/>
          <w:b/>
          <w:bCs/>
          <w:sz w:val="24"/>
          <w:szCs w:val="24"/>
        </w:rPr>
      </w:pPr>
      <w:bookmarkStart w:id="10" w:name="_Toc988899"/>
      <w:r w:rsidRPr="00CA00E9">
        <w:rPr>
          <w:rFonts w:ascii="宋体" w:eastAsia="宋体" w:hAnsi="宋体" w:cs="宋体"/>
          <w:b/>
          <w:bCs/>
          <w:sz w:val="24"/>
          <w:szCs w:val="24"/>
        </w:rPr>
        <w:t>（3） 以方框图形式披露公司与实际控制人之间的产权及控制关系</w:t>
      </w:r>
      <w:bookmarkEnd w:id="10"/>
    </w:p>
    <w:p w:rsidR="00005B90" w:rsidRPr="00CA00E9" w:rsidRDefault="00EB556F" w:rsidP="00CA00E9">
      <w:pPr>
        <w:spacing w:before="40" w:after="40" w:line="0" w:lineRule="atLeas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CA00E9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2921000" cy="305958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Bitmap Image.jpg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5276" cy="3064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5B90" w:rsidRPr="00CA00E9" w:rsidRDefault="00EB556F">
      <w:pPr>
        <w:pStyle w:val="3"/>
        <w:spacing w:line="280" w:lineRule="exact"/>
        <w:jc w:val="left"/>
        <w:rPr>
          <w:rFonts w:ascii="宋体" w:hAnsi="宋体" w:cs="宋体"/>
          <w:b/>
          <w:bCs/>
          <w:sz w:val="24"/>
          <w:szCs w:val="24"/>
        </w:rPr>
      </w:pPr>
      <w:bookmarkStart w:id="11" w:name="_Toc988900"/>
      <w:r w:rsidRPr="00CA00E9">
        <w:rPr>
          <w:rFonts w:ascii="宋体" w:hAnsi="宋体" w:cs="宋体"/>
          <w:b/>
          <w:bCs/>
          <w:sz w:val="24"/>
          <w:szCs w:val="24"/>
        </w:rPr>
        <w:t>5、在年度报告批准报出日存续的债券情况</w:t>
      </w:r>
      <w:bookmarkEnd w:id="11"/>
    </w:p>
    <w:p w:rsidR="00005B90" w:rsidRDefault="00EB556F">
      <w:pPr>
        <w:spacing w:before="100" w:after="100" w:line="240" w:lineRule="exact"/>
        <w:rPr>
          <w:rFonts w:ascii="宋体" w:eastAsia="宋体" w:hAnsi="宋体" w:cs="宋体"/>
          <w:sz w:val="24"/>
          <w:szCs w:val="24"/>
        </w:rPr>
      </w:pPr>
      <w:r w:rsidRPr="00CA00E9">
        <w:rPr>
          <w:rFonts w:ascii="宋体" w:eastAsia="宋体" w:hAnsi="宋体" w:cs="宋体"/>
          <w:sz w:val="24"/>
          <w:szCs w:val="24"/>
        </w:rPr>
        <w:t xml:space="preserve">□适用 </w:t>
      </w:r>
      <w:r w:rsidRPr="00CA00E9">
        <w:rPr>
          <w:rFonts w:ascii="宋体" w:eastAsia="宋体" w:hAnsi="宋体" w:cs="宋体"/>
          <w:sz w:val="24"/>
          <w:szCs w:val="24"/>
        </w:rPr>
        <w:sym w:font="Wingdings 2" w:char="F052"/>
      </w:r>
      <w:r w:rsidRPr="00CA00E9">
        <w:rPr>
          <w:rFonts w:ascii="宋体" w:eastAsia="宋体" w:hAnsi="宋体" w:cs="宋体"/>
          <w:sz w:val="24"/>
          <w:szCs w:val="24"/>
        </w:rPr>
        <w:t>不适用</w:t>
      </w:r>
    </w:p>
    <w:p w:rsidR="00005B90" w:rsidRPr="00CA00E9" w:rsidRDefault="00EB556F" w:rsidP="00E30140">
      <w:pPr>
        <w:widowControl/>
        <w:spacing w:beforeLines="50" w:before="156" w:afterLines="50" w:after="156" w:line="360" w:lineRule="auto"/>
        <w:rPr>
          <w:rFonts w:ascii="宋体" w:eastAsia="宋体" w:hAnsi="宋体" w:cs="宋体"/>
          <w:b/>
          <w:bCs/>
          <w:sz w:val="24"/>
          <w:szCs w:val="24"/>
        </w:rPr>
      </w:pPr>
      <w:bookmarkStart w:id="12" w:name="_Toc988901"/>
      <w:r w:rsidRPr="00CA00E9">
        <w:rPr>
          <w:rFonts w:ascii="宋体" w:eastAsia="宋体" w:hAnsi="宋体" w:cs="宋体"/>
          <w:b/>
          <w:bCs/>
          <w:sz w:val="24"/>
          <w:szCs w:val="24"/>
        </w:rPr>
        <w:t>三、重要事项</w:t>
      </w:r>
      <w:bookmarkEnd w:id="12"/>
    </w:p>
    <w:p w:rsidR="00C816D5" w:rsidRPr="00C816D5" w:rsidRDefault="00C816D5" w:rsidP="00C816D5">
      <w:pPr>
        <w:widowControl/>
        <w:spacing w:line="360" w:lineRule="auto"/>
        <w:divId w:val="500001413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（一）发展战略</w:t>
      </w:r>
    </w:p>
    <w:p w:rsidR="00C816D5" w:rsidRPr="00C816D5" w:rsidRDefault="00C816D5" w:rsidP="00C816D5">
      <w:pPr>
        <w:widowControl/>
        <w:spacing w:line="360" w:lineRule="auto"/>
        <w:ind w:firstLineChars="200" w:firstLine="480"/>
        <w:jc w:val="both"/>
        <w:divId w:val="500001413"/>
        <w:rPr>
          <w:rFonts w:ascii="等线" w:eastAsia="等线" w:hAnsi="等线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2026年是“十五五”开局之年，也是我国新型能源体系建设关键之年。公司将正视“十五五”时期战略机遇和风险挑战，锚定战略目标，坚持产品经营专业化、市场布局国际化；</w:t>
      </w:r>
      <w:r w:rsidRPr="00C816D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立足全球化视野，加快“走出去”步伐，主动融入当地市场生态，深耕本土化运营；持续探索新能源高质量发展新模式，加快培育利润增长“第二曲线”，奋力书写可持续高质量发展新篇章。</w:t>
      </w:r>
    </w:p>
    <w:p w:rsidR="00C816D5" w:rsidRPr="00C816D5" w:rsidRDefault="00C816D5" w:rsidP="00C816D5">
      <w:pPr>
        <w:widowControl/>
        <w:spacing w:line="360" w:lineRule="auto"/>
        <w:divId w:val="500001413"/>
        <w:rPr>
          <w:rFonts w:ascii="宋体" w:eastAsia="宋体" w:hAnsi="宋体" w:cs="宋体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（二）经营计划</w:t>
      </w:r>
    </w:p>
    <w:p w:rsidR="00C816D5" w:rsidRPr="00C816D5" w:rsidRDefault="00C816D5" w:rsidP="00C816D5">
      <w:pPr>
        <w:widowControl/>
        <w:spacing w:line="360" w:lineRule="auto"/>
        <w:ind w:firstLine="482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1.主业筑基，战略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锚定启新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程</w:t>
      </w:r>
    </w:p>
    <w:p w:rsidR="00C816D5" w:rsidRPr="00C816D5" w:rsidRDefault="00C816D5" w:rsidP="00C816D5">
      <w:pPr>
        <w:widowControl/>
        <w:spacing w:line="360" w:lineRule="auto"/>
        <w:ind w:left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（1）线缆业务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1）夯实传统领域，筑牢基本盘。依托能源基建和交通基建升级，线缆传统领域需求稳步升级。公司将聚焦细分市场，巩固现有主业优势，加强大客户开发，提高线缆产品在环保、节能、耐用性等方面的性能，推动中低端产品升级、高端产品下沉，进一步夯实国内市场。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2）聚焦新兴赛道，深化产能布局。新能源、数字经济、轨道交通、船舶与海洋工程等领域的崛起，催生了对特种专用电缆的爆发式需求。公司将聚焦新兴领域，精准布局产品，充分发挥产品差异化优势，抢占高端市场份额。同时公司将持续</w:t>
      </w:r>
      <w:r w:rsidRPr="00C816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深化全球产能布局，依托中亚市场资源禀赋优势和产能转移契机，挖掘当地基建及能源项目机会，开辟新兴市场。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3）坚持走出去战略，立足全球化视野。以高质量共建“一带一路”为契机，向沿线业务利润增长国家迈进，加速拓展海外市场；深化当地合作关系，做好线缆产品本土化、定制化、差异化，打造区域增长极，进一步推进线缆品牌全球化。</w:t>
      </w:r>
    </w:p>
    <w:p w:rsidR="00C816D5" w:rsidRPr="00C816D5" w:rsidRDefault="00C816D5" w:rsidP="00C816D5">
      <w:pPr>
        <w:widowControl/>
        <w:spacing w:line="360" w:lineRule="auto"/>
        <w:ind w:firstLine="482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（2）光伏业务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1）深化产融协同，构建产业生态圈。依托控股股东的资源禀赋与平台优势，稳住上游关键原材料的供给渠道与成本优势，贯通下游产品销售渠道，提升市场响应速度与终端覆盖能力；积极联合上下游合作伙伴，开展更深层次的资源整合与价值共创，推动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产业链各环节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从单点合作向系统协同跃升，构筑核心产业生态圈。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2）布局高价值市场，培育第二增长曲线。巩固国内外现有优势市场，精准布局美国、澳洲、土耳其等高价值市场，优化全球销售运营网络，保障全球化供应，打造国际化品牌影响力。挖掘光伏电站、储能领域业务机会，加速推进“光伏+储能”一体化战略，拓展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多元业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态，积极培育第二增长曲线。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3）优化产能结构，强化轻资产运营。优化国内外高成本产能，推进与业内优质产能合作，激发制造端活力。同步构建覆盖菲律宾、印尼、日本、土耳其等多个国家和地区的外协生产力与交付体系，全面保障公司海外市场的稳定交付。公司坚持创新驱动发展战略，把科技研发作为提升核心竞争力、推动产业升级的根本动力，推动产业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链技术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迭代与产品升级。</w:t>
      </w:r>
    </w:p>
    <w:p w:rsidR="00C816D5" w:rsidRPr="00C816D5" w:rsidRDefault="00C816D5" w:rsidP="00C816D5">
      <w:pPr>
        <w:widowControl/>
        <w:spacing w:line="360" w:lineRule="auto"/>
        <w:ind w:firstLine="482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2.强化风险管控，赋能业务发展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坚持底线思维，增强风险防范意识，将上市公司治理规范嵌入公司业务全链条，让风险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管控从“被动防御”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转向“主动赋能”，强化确定性管理以应对不确定的市场环境，确保公司在全球化布局加速深化进程中行稳致远。</w:t>
      </w:r>
    </w:p>
    <w:p w:rsidR="00C816D5" w:rsidRPr="00C816D5" w:rsidRDefault="00C816D5" w:rsidP="00C816D5">
      <w:pPr>
        <w:widowControl/>
        <w:spacing w:line="360" w:lineRule="auto"/>
        <w:ind w:firstLine="482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3.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加快数智化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应用，全面提升运营效能</w:t>
      </w:r>
    </w:p>
    <w:p w:rsidR="00C816D5" w:rsidRPr="00C816D5" w:rsidRDefault="00C816D5" w:rsidP="00C816D5">
      <w:pPr>
        <w:widowControl/>
        <w:spacing w:line="360" w:lineRule="auto"/>
        <w:ind w:firstLine="480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搭建集采购、生产、销售于一体的综合管控平台，系统打通各业务单元的数据壁垒与流程断点，推动从合同到交付的全链条</w:t>
      </w:r>
      <w:bookmarkStart w:id="13" w:name="_GoBack"/>
      <w:bookmarkEnd w:id="13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线上贯通，实现业务运行透明化与规范化。同步构建两级数据汇总管理体系，促进产业链上下游数据互联互通。引入智能</w:t>
      </w:r>
      <w:proofErr w:type="gramStart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体管理</w:t>
      </w:r>
      <w:proofErr w:type="gramEnd"/>
      <w:r w:rsidRPr="00C816D5">
        <w:rPr>
          <w:rFonts w:ascii="宋体" w:eastAsia="宋体" w:hAnsi="宋体" w:cs="宋体" w:hint="eastAsia"/>
          <w:kern w:val="0"/>
          <w:sz w:val="24"/>
          <w:szCs w:val="24"/>
        </w:rPr>
        <w:t>模式，优化数据采集与决策支撑能力，全面提升运营效率与管理水平。</w:t>
      </w:r>
    </w:p>
    <w:p w:rsidR="00C816D5" w:rsidRPr="00C816D5" w:rsidRDefault="00C816D5" w:rsidP="00C816D5">
      <w:pPr>
        <w:widowControl/>
        <w:spacing w:line="360" w:lineRule="auto"/>
        <w:ind w:firstLine="482"/>
        <w:jc w:val="both"/>
        <w:divId w:val="500001413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C816D5">
        <w:rPr>
          <w:rFonts w:ascii="宋体" w:eastAsia="宋体" w:hAnsi="宋体" w:cs="宋体" w:hint="eastAsia"/>
          <w:kern w:val="0"/>
          <w:sz w:val="24"/>
          <w:szCs w:val="24"/>
        </w:rPr>
        <w:t>4.深化套保体系创新，强化资金精益管控</w:t>
      </w:r>
    </w:p>
    <w:p w:rsidR="00A2691D" w:rsidRPr="00C816D5" w:rsidRDefault="00C816D5" w:rsidP="00C816D5">
      <w:pPr>
        <w:pStyle w:val="a3"/>
        <w:spacing w:before="0" w:beforeAutospacing="0" w:after="0" w:afterAutospacing="0" w:line="360" w:lineRule="auto"/>
        <w:ind w:firstLine="482"/>
        <w:jc w:val="both"/>
        <w:divId w:val="500001413"/>
      </w:pPr>
      <w:r w:rsidRPr="00C816D5">
        <w:rPr>
          <w:rFonts w:cs="Times New Roman" w:hint="eastAsia"/>
          <w:kern w:val="2"/>
          <w14:ligatures w14:val="standardContextual"/>
        </w:rPr>
        <w:t>开展系统性市场</w:t>
      </w:r>
      <w:proofErr w:type="gramStart"/>
      <w:r w:rsidRPr="00C816D5">
        <w:rPr>
          <w:rFonts w:cs="Times New Roman" w:hint="eastAsia"/>
          <w:kern w:val="2"/>
          <w14:ligatures w14:val="standardContextual"/>
        </w:rPr>
        <w:t>研</w:t>
      </w:r>
      <w:proofErr w:type="gramEnd"/>
      <w:r w:rsidRPr="00C816D5">
        <w:rPr>
          <w:rFonts w:cs="Times New Roman" w:hint="eastAsia"/>
          <w:kern w:val="2"/>
          <w14:ligatures w14:val="standardContextual"/>
        </w:rPr>
        <w:t>判工作，动态优化套保策略与模式组合，拓展交易品种，深化期权等衍生工具的情景化运用，通过制度与策略双重创新推动风险管理从“成本对冲”向“价值赋能”升级。持续优化融资结构，多渠道降低综合融资成本，全面提升资金使用效益与精细化管理水平。稳步推进国内外授</w:t>
      </w:r>
      <w:proofErr w:type="gramStart"/>
      <w:r w:rsidRPr="00C816D5">
        <w:rPr>
          <w:rFonts w:cs="Times New Roman" w:hint="eastAsia"/>
          <w:kern w:val="2"/>
          <w14:ligatures w14:val="standardContextual"/>
        </w:rPr>
        <w:t>信资源</w:t>
      </w:r>
      <w:proofErr w:type="gramEnd"/>
      <w:r w:rsidRPr="00C816D5">
        <w:rPr>
          <w:rFonts w:cs="Times New Roman" w:hint="eastAsia"/>
          <w:kern w:val="2"/>
          <w14:ligatures w14:val="standardContextual"/>
        </w:rPr>
        <w:t>的恢复与拓展，合理运用金融杠杆，支撑产能优化升级与市场渠道开拓，为高质量发展注入持续、稳定的资金动力。</w:t>
      </w:r>
    </w:p>
    <w:sectPr w:rsidR="00A2691D" w:rsidRPr="00C816D5">
      <w:headerReference w:type="default" r:id="rId7"/>
      <w:footerReference w:type="default" r:id="rId8"/>
      <w:pgSz w:w="11905" w:h="16840"/>
      <w:pgMar w:top="1440" w:right="1134" w:bottom="1440" w:left="1134" w:header="850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F5" w:rsidRDefault="008208F5">
      <w:r>
        <w:separator/>
      </w:r>
    </w:p>
  </w:endnote>
  <w:endnote w:type="continuationSeparator" w:id="0">
    <w:p w:rsidR="008208F5" w:rsidRDefault="008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90" w:rsidRDefault="00EB556F">
    <w:pPr>
      <w:pStyle w:val="fotter1"/>
    </w:pPr>
    <w:r>
      <w:fldChar w:fldCharType="begin"/>
    </w:r>
    <w:r>
      <w:instrText>PAGE   \* MERGEFORMAT</w:instrText>
    </w:r>
    <w:r>
      <w:fldChar w:fldCharType="separate"/>
    </w:r>
    <w:r w:rsidR="00C816D5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F5" w:rsidRDefault="008208F5">
      <w:r>
        <w:separator/>
      </w:r>
    </w:p>
  </w:footnote>
  <w:footnote w:type="continuationSeparator" w:id="0">
    <w:p w:rsidR="008208F5" w:rsidRDefault="00820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B90" w:rsidRDefault="00EB556F">
    <w:pPr>
      <w:pStyle w:val="Header1"/>
      <w:pBdr>
        <w:bottom w:val="single" w:sz="6" w:space="1" w:color="auto"/>
      </w:pBdr>
    </w:pPr>
    <w:r>
      <w:t>江苏中利集团股份有限公司2025年年度报告摘要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90"/>
    <w:rsid w:val="00005B90"/>
    <w:rsid w:val="000332AF"/>
    <w:rsid w:val="000571C4"/>
    <w:rsid w:val="00077F63"/>
    <w:rsid w:val="001A32E7"/>
    <w:rsid w:val="001B71FE"/>
    <w:rsid w:val="002819DF"/>
    <w:rsid w:val="002B6015"/>
    <w:rsid w:val="00357CD7"/>
    <w:rsid w:val="00457DB3"/>
    <w:rsid w:val="0055468A"/>
    <w:rsid w:val="005956CC"/>
    <w:rsid w:val="005B25FD"/>
    <w:rsid w:val="007E7558"/>
    <w:rsid w:val="008208F5"/>
    <w:rsid w:val="008D5FCF"/>
    <w:rsid w:val="00960106"/>
    <w:rsid w:val="009C282D"/>
    <w:rsid w:val="00A2691D"/>
    <w:rsid w:val="00AB4FE2"/>
    <w:rsid w:val="00AE7DCA"/>
    <w:rsid w:val="00B63700"/>
    <w:rsid w:val="00B85C96"/>
    <w:rsid w:val="00B94F36"/>
    <w:rsid w:val="00C816D5"/>
    <w:rsid w:val="00CA00E9"/>
    <w:rsid w:val="00CB4FC6"/>
    <w:rsid w:val="00DD1A7C"/>
    <w:rsid w:val="00E30140"/>
    <w:rsid w:val="00EB556F"/>
    <w:rsid w:val="00ED119E"/>
    <w:rsid w:val="00F3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03148"/>
  <w15:docId w15:val="{442BA305-E2BC-4B72-BB13-1F92132D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56" w:after="156"/>
      <w:outlineLvl w:val="1"/>
    </w:pPr>
    <w:rPr>
      <w:szCs w:val="21"/>
    </w:rPr>
  </w:style>
  <w:style w:type="paragraph" w:styleId="3">
    <w:name w:val="heading 3"/>
    <w:basedOn w:val="a"/>
    <w:next w:val="a"/>
    <w:uiPriority w:val="99"/>
    <w:qFormat/>
    <w:rsid w:val="00B74129"/>
    <w:pPr>
      <w:keepNext/>
      <w:keepLines/>
      <w:spacing w:before="300" w:after="300" w:line="241" w:lineRule="auto"/>
      <w:jc w:val="both"/>
      <w:outlineLvl w:val="2"/>
    </w:pPr>
    <w:rPr>
      <w:rFonts w:eastAsia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 1"/>
    <w:pPr>
      <w:jc w:val="right"/>
    </w:pPr>
    <w:rPr>
      <w:rFonts w:ascii="宋体" w:eastAsia="宋体"/>
      <w:sz w:val="18"/>
      <w:szCs w:val="18"/>
    </w:rPr>
  </w:style>
  <w:style w:type="paragraph" w:customStyle="1" w:styleId="headingh1">
    <w:name w:val="heading h1"/>
    <w:basedOn w:val="a"/>
    <w:next w:val="a"/>
    <w:uiPriority w:val="9"/>
    <w:qFormat/>
    <w:pPr>
      <w:keepNext/>
      <w:keepLines/>
      <w:spacing w:before="240" w:after="240" w:line="578" w:lineRule="auto"/>
      <w:outlineLvl w:val="0"/>
    </w:pPr>
    <w:rPr>
      <w:kern w:val="44"/>
      <w:sz w:val="44"/>
      <w:szCs w:val="44"/>
    </w:rPr>
  </w:style>
  <w:style w:type="paragraph" w:customStyle="1" w:styleId="fotter1">
    <w:name w:val="fotter 1"/>
    <w:pPr>
      <w:jc w:val="right"/>
    </w:pPr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</w:style>
  <w:style w:type="paragraph" w:styleId="20">
    <w:name w:val="toc 2"/>
    <w:basedOn w:val="a"/>
    <w:next w:val="a"/>
    <w:autoRedefine/>
    <w:uiPriority w:val="39"/>
    <w:unhideWhenUsed/>
    <w:pPr>
      <w:ind w:leftChars="200" w:left="420"/>
    </w:pPr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rsid w:val="005B25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25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25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25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825</Words>
  <Characters>4705</Characters>
  <Application>Microsoft Office Word</Application>
  <DocSecurity>0</DocSecurity>
  <Lines>39</Lines>
  <Paragraphs>11</Paragraphs>
  <ScaleCrop>false</ScaleCrop>
  <Company>Microsoft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陆静怡</dc:creator>
  <cp:lastModifiedBy>宋泽林</cp:lastModifiedBy>
  <cp:revision>4</cp:revision>
  <dcterms:created xsi:type="dcterms:W3CDTF">2026-04-22T05:42:00Z</dcterms:created>
  <dcterms:modified xsi:type="dcterms:W3CDTF">2026-04-22T07:41:00Z</dcterms:modified>
</cp:coreProperties>
</file>