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1B" w:rsidRPr="00B20FB0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B20FB0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B20FB0">
        <w:rPr>
          <w:rFonts w:asciiTheme="minorEastAsia" w:eastAsiaTheme="minorEastAsia" w:hAnsiTheme="minorEastAsia" w:cs="宋体"/>
          <w:b/>
          <w:kern w:val="0"/>
        </w:rPr>
        <w:t>002309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B20FB0">
        <w:rPr>
          <w:rFonts w:asciiTheme="minorEastAsia" w:eastAsiaTheme="minorEastAsia" w:hAnsiTheme="minorEastAsia" w:cs="宋体"/>
          <w:b/>
          <w:kern w:val="0"/>
        </w:rPr>
        <w:t xml:space="preserve">    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D51F5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E914A9">
        <w:rPr>
          <w:rFonts w:asciiTheme="minorEastAsia" w:eastAsiaTheme="minorEastAsia" w:hAnsiTheme="minorEastAsia" w:cs="宋体" w:hint="eastAsia"/>
          <w:b/>
          <w:kern w:val="0"/>
        </w:rPr>
        <w:t>中利集团</w:t>
      </w:r>
      <w:r w:rsidRPr="00B20FB0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B20FB0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D85FBB" w:rsidRPr="00B20FB0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7F40E6" w:rsidRPr="00B20FB0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E914A9">
        <w:rPr>
          <w:rFonts w:asciiTheme="minorEastAsia" w:eastAsiaTheme="minorEastAsia" w:hAnsiTheme="minorEastAsia" w:cs="宋体"/>
          <w:b/>
          <w:kern w:val="0"/>
        </w:rPr>
        <w:t>6</w:t>
      </w:r>
      <w:r w:rsidR="007F40E6" w:rsidRPr="00B20FB0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C7669C">
        <w:rPr>
          <w:rFonts w:asciiTheme="minorEastAsia" w:eastAsiaTheme="minorEastAsia" w:hAnsiTheme="minorEastAsia" w:cs="宋体"/>
          <w:b/>
          <w:kern w:val="0"/>
        </w:rPr>
        <w:t>0</w:t>
      </w:r>
      <w:r w:rsidR="004639B3">
        <w:rPr>
          <w:rFonts w:asciiTheme="minorEastAsia" w:eastAsiaTheme="minorEastAsia" w:hAnsiTheme="minorEastAsia" w:cs="宋体"/>
          <w:b/>
          <w:kern w:val="0"/>
        </w:rPr>
        <w:t>13</w:t>
      </w:r>
    </w:p>
    <w:p w:rsidR="006A2333" w:rsidRPr="00B20FB0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</w:rPr>
      </w:pPr>
    </w:p>
    <w:p w:rsidR="00563CB0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:rsidR="00365AAE" w:rsidRPr="00722D1B" w:rsidRDefault="005A1CDF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5A1CDF">
        <w:rPr>
          <w:rFonts w:asciiTheme="minorEastAsia" w:eastAsiaTheme="minorEastAsia" w:hAnsiTheme="minorEastAsia" w:hint="eastAsia"/>
          <w:b/>
          <w:sz w:val="32"/>
          <w:szCs w:val="32"/>
        </w:rPr>
        <w:t>关于2025年度利润分配预案的公告</w:t>
      </w:r>
    </w:p>
    <w:p w:rsidR="00722D1B" w:rsidRPr="006F7408" w:rsidRDefault="00722D1B" w:rsidP="00C40CAB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20589D" w:rsidTr="000D093A">
        <w:tc>
          <w:tcPr>
            <w:tcW w:w="8522" w:type="dxa"/>
          </w:tcPr>
          <w:p w:rsidR="00722D1B" w:rsidRPr="0020589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20589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:rsidR="005A1CDF" w:rsidRDefault="005A1CDF" w:rsidP="00072569">
      <w:pPr>
        <w:spacing w:beforeLines="100" w:before="312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bookmarkStart w:id="0" w:name="OLE_LINK30"/>
      <w:bookmarkStart w:id="1" w:name="OLE_LINK31"/>
      <w:r w:rsidRPr="005A1CDF">
        <w:rPr>
          <w:rFonts w:asciiTheme="minorEastAsia" w:eastAsiaTheme="minorEastAsia" w:hAnsiTheme="minorEastAsia" w:hint="eastAsia"/>
          <w:sz w:val="24"/>
        </w:rPr>
        <w:t>江苏中利集团股份有限公司（以下简称“公司”）于2026年4月23日召开第七届董事会第五次会议，审议通过了《关于公司2025</w:t>
      </w:r>
      <w:r w:rsidR="003F327A">
        <w:rPr>
          <w:rFonts w:asciiTheme="minorEastAsia" w:eastAsiaTheme="minorEastAsia" w:hAnsiTheme="minorEastAsia" w:hint="eastAsia"/>
          <w:sz w:val="24"/>
        </w:rPr>
        <w:t>年度利润分配预案的议案》，</w:t>
      </w:r>
      <w:bookmarkStart w:id="2" w:name="OLE_LINK3"/>
      <w:bookmarkStart w:id="3" w:name="OLE_LINK4"/>
      <w:r w:rsidR="003F327A">
        <w:rPr>
          <w:rFonts w:asciiTheme="minorEastAsia" w:eastAsiaTheme="minorEastAsia" w:hAnsiTheme="minorEastAsia" w:hint="eastAsia"/>
          <w:sz w:val="24"/>
        </w:rPr>
        <w:t>该</w:t>
      </w:r>
      <w:bookmarkEnd w:id="2"/>
      <w:bookmarkEnd w:id="3"/>
      <w:r w:rsidR="003F327A">
        <w:rPr>
          <w:rFonts w:asciiTheme="minorEastAsia" w:eastAsiaTheme="minorEastAsia" w:hAnsiTheme="minorEastAsia" w:hint="eastAsia"/>
          <w:sz w:val="24"/>
        </w:rPr>
        <w:t>议</w:t>
      </w:r>
      <w:r w:rsidRPr="005A1CDF">
        <w:rPr>
          <w:rFonts w:asciiTheme="minorEastAsia" w:eastAsiaTheme="minorEastAsia" w:hAnsiTheme="minorEastAsia" w:hint="eastAsia"/>
          <w:sz w:val="24"/>
        </w:rPr>
        <w:t>案尚需提交公司202</w:t>
      </w:r>
      <w:bookmarkStart w:id="4" w:name="_GoBack"/>
      <w:bookmarkEnd w:id="4"/>
      <w:r w:rsidRPr="005A1CDF">
        <w:rPr>
          <w:rFonts w:asciiTheme="minorEastAsia" w:eastAsiaTheme="minorEastAsia" w:hAnsiTheme="minorEastAsia" w:hint="eastAsia"/>
          <w:sz w:val="24"/>
        </w:rPr>
        <w:t>5年度股东会审议</w:t>
      </w:r>
      <w:bookmarkEnd w:id="0"/>
      <w:bookmarkEnd w:id="1"/>
      <w:r w:rsidR="009A11BC">
        <w:rPr>
          <w:rFonts w:asciiTheme="minorEastAsia" w:eastAsiaTheme="minorEastAsia" w:hAnsiTheme="minorEastAsia" w:hint="eastAsia"/>
          <w:sz w:val="24"/>
        </w:rPr>
        <w:t>，现将具体情况公告如下：</w:t>
      </w:r>
    </w:p>
    <w:p w:rsidR="00BC19EB" w:rsidRDefault="00072569" w:rsidP="00BC19EB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</w:t>
      </w:r>
      <w:r w:rsidR="00BC19EB">
        <w:rPr>
          <w:rFonts w:asciiTheme="minorEastAsia" w:eastAsiaTheme="minorEastAsia" w:hAnsiTheme="minorEastAsia" w:hint="eastAsia"/>
          <w:b/>
          <w:sz w:val="24"/>
        </w:rPr>
        <w:t>、</w:t>
      </w:r>
      <w:r w:rsidR="005A1CDF" w:rsidRPr="005A1CDF">
        <w:rPr>
          <w:rFonts w:asciiTheme="minorEastAsia" w:eastAsiaTheme="minorEastAsia" w:hAnsiTheme="minorEastAsia" w:hint="eastAsia"/>
          <w:b/>
          <w:sz w:val="24"/>
        </w:rPr>
        <w:t>利润分配</w:t>
      </w:r>
      <w:r w:rsidR="005A1CDF">
        <w:rPr>
          <w:rFonts w:asciiTheme="minorEastAsia" w:eastAsiaTheme="minorEastAsia" w:hAnsiTheme="minorEastAsia" w:hint="eastAsia"/>
          <w:b/>
          <w:sz w:val="24"/>
        </w:rPr>
        <w:t>预案</w:t>
      </w:r>
      <w:r w:rsidR="005A1CDF" w:rsidRPr="005A1CDF">
        <w:rPr>
          <w:rFonts w:asciiTheme="minorEastAsia" w:eastAsiaTheme="minorEastAsia" w:hAnsiTheme="minorEastAsia" w:hint="eastAsia"/>
          <w:b/>
          <w:sz w:val="24"/>
        </w:rPr>
        <w:t>的基本情况</w:t>
      </w:r>
    </w:p>
    <w:p w:rsidR="005A1CDF" w:rsidRPr="005A1CDF" w:rsidRDefault="005A1CDF" w:rsidP="005A1CD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bookmarkStart w:id="5" w:name="OLE_LINK32"/>
      <w:r w:rsidRPr="005A1CDF">
        <w:rPr>
          <w:rFonts w:asciiTheme="minorEastAsia" w:eastAsiaTheme="minorEastAsia" w:hAnsiTheme="minorEastAsia" w:hint="eastAsia"/>
          <w:sz w:val="24"/>
        </w:rPr>
        <w:t>根据容诚会计师事务所（特殊普通合伙）出具的标准无保留意见的审计报告，2025年度公司合并</w:t>
      </w:r>
      <w:r w:rsidR="009A11BC">
        <w:rPr>
          <w:rFonts w:asciiTheme="minorEastAsia" w:eastAsiaTheme="minorEastAsia" w:hAnsiTheme="minorEastAsia" w:hint="eastAsia"/>
          <w:sz w:val="24"/>
        </w:rPr>
        <w:t>报表</w:t>
      </w:r>
      <w:r w:rsidRPr="005A1CDF">
        <w:rPr>
          <w:rFonts w:asciiTheme="minorEastAsia" w:eastAsiaTheme="minorEastAsia" w:hAnsiTheme="minorEastAsia" w:hint="eastAsia"/>
          <w:sz w:val="24"/>
        </w:rPr>
        <w:t>实现归属于上市公司股东的</w:t>
      </w:r>
      <w:bookmarkStart w:id="6" w:name="OLE_LINK1"/>
      <w:bookmarkStart w:id="7" w:name="OLE_LINK2"/>
      <w:r w:rsidRPr="005A1CDF">
        <w:rPr>
          <w:rFonts w:asciiTheme="minorEastAsia" w:eastAsiaTheme="minorEastAsia" w:hAnsiTheme="minorEastAsia" w:hint="eastAsia"/>
          <w:sz w:val="24"/>
        </w:rPr>
        <w:t>净利润</w:t>
      </w:r>
      <w:bookmarkEnd w:id="6"/>
      <w:bookmarkEnd w:id="7"/>
      <w:r w:rsidRPr="005A1CDF">
        <w:rPr>
          <w:rFonts w:asciiTheme="minorEastAsia" w:eastAsiaTheme="minorEastAsia" w:hAnsiTheme="minorEastAsia" w:hint="eastAsia"/>
          <w:sz w:val="24"/>
        </w:rPr>
        <w:t>为</w:t>
      </w:r>
      <w:r w:rsidR="00D23AC1" w:rsidRPr="00D23AC1">
        <w:rPr>
          <w:rFonts w:asciiTheme="minorEastAsia" w:eastAsiaTheme="minorEastAsia" w:hAnsiTheme="minorEastAsia"/>
          <w:sz w:val="24"/>
        </w:rPr>
        <w:t>-56,964,953.58</w:t>
      </w:r>
      <w:r w:rsidRPr="005A1CDF">
        <w:rPr>
          <w:rFonts w:asciiTheme="minorEastAsia" w:eastAsiaTheme="minorEastAsia" w:hAnsiTheme="minorEastAsia" w:hint="eastAsia"/>
          <w:sz w:val="24"/>
        </w:rPr>
        <w:t>元，期末未分配利润为</w:t>
      </w:r>
      <w:r w:rsidR="00D23AC1" w:rsidRPr="00D23AC1">
        <w:rPr>
          <w:rFonts w:asciiTheme="minorEastAsia" w:eastAsiaTheme="minorEastAsia" w:hAnsiTheme="minorEastAsia"/>
          <w:sz w:val="24"/>
        </w:rPr>
        <w:t>-8,592,275,858.88</w:t>
      </w:r>
      <w:r w:rsidRPr="005A1CDF">
        <w:rPr>
          <w:rFonts w:asciiTheme="minorEastAsia" w:eastAsiaTheme="minorEastAsia" w:hAnsiTheme="minorEastAsia" w:hint="eastAsia"/>
          <w:sz w:val="24"/>
        </w:rPr>
        <w:t>元；2025年度母公司实现净利润</w:t>
      </w:r>
      <w:r w:rsidR="00D23AC1" w:rsidRPr="00D23AC1">
        <w:rPr>
          <w:rFonts w:asciiTheme="minorEastAsia" w:eastAsiaTheme="minorEastAsia" w:hAnsiTheme="minorEastAsia"/>
          <w:sz w:val="24"/>
        </w:rPr>
        <w:t>-1,036,406,242.62</w:t>
      </w:r>
      <w:r w:rsidRPr="005A1CDF">
        <w:rPr>
          <w:rFonts w:asciiTheme="minorEastAsia" w:eastAsiaTheme="minorEastAsia" w:hAnsiTheme="minorEastAsia" w:hint="eastAsia"/>
          <w:sz w:val="24"/>
        </w:rPr>
        <w:t>元，期末未分配利润为</w:t>
      </w:r>
      <w:r w:rsidR="00D23AC1" w:rsidRPr="00D23AC1">
        <w:rPr>
          <w:rFonts w:asciiTheme="minorEastAsia" w:eastAsiaTheme="minorEastAsia" w:hAnsiTheme="minorEastAsia"/>
          <w:sz w:val="24"/>
        </w:rPr>
        <w:t>-3,056,467,192.45</w:t>
      </w:r>
      <w:r w:rsidRPr="005A1CDF">
        <w:rPr>
          <w:rFonts w:asciiTheme="minorEastAsia" w:eastAsiaTheme="minorEastAsia" w:hAnsiTheme="minorEastAsia" w:hint="eastAsia"/>
          <w:sz w:val="24"/>
        </w:rPr>
        <w:t>元。</w:t>
      </w:r>
    </w:p>
    <w:p w:rsidR="006F7408" w:rsidRPr="006F7408" w:rsidRDefault="005A1CDF" w:rsidP="005A1CD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A1CDF">
        <w:rPr>
          <w:rFonts w:asciiTheme="minorEastAsia" w:eastAsiaTheme="minorEastAsia" w:hAnsiTheme="minorEastAsia" w:hint="eastAsia"/>
          <w:sz w:val="24"/>
        </w:rPr>
        <w:t>鉴于</w:t>
      </w:r>
      <w:r w:rsidR="00D23AC1" w:rsidRPr="00D23AC1">
        <w:rPr>
          <w:rFonts w:asciiTheme="minorEastAsia" w:eastAsiaTheme="minorEastAsia" w:hAnsiTheme="minorEastAsia" w:hint="eastAsia"/>
          <w:sz w:val="24"/>
        </w:rPr>
        <w:t>公司2025年度可分配利润为负值</w:t>
      </w:r>
      <w:r w:rsidRPr="005A1CDF">
        <w:rPr>
          <w:rFonts w:asciiTheme="minorEastAsia" w:eastAsiaTheme="minorEastAsia" w:hAnsiTheme="minorEastAsia" w:hint="eastAsia"/>
          <w:sz w:val="24"/>
        </w:rPr>
        <w:t>，依照公司章程和公司现金分红政策，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025</w:t>
      </w:r>
      <w:r>
        <w:rPr>
          <w:rFonts w:asciiTheme="minorEastAsia" w:eastAsiaTheme="minorEastAsia" w:hAnsiTheme="minorEastAsia" w:hint="eastAsia"/>
          <w:sz w:val="24"/>
        </w:rPr>
        <w:t>年度</w:t>
      </w:r>
      <w:r w:rsidRPr="005A1CDF">
        <w:rPr>
          <w:rFonts w:asciiTheme="minorEastAsia" w:eastAsiaTheme="minorEastAsia" w:hAnsiTheme="minorEastAsia" w:hint="eastAsia"/>
          <w:sz w:val="24"/>
        </w:rPr>
        <w:t>公司计划</w:t>
      </w:r>
      <w:proofErr w:type="gramStart"/>
      <w:r w:rsidRPr="005A1CDF">
        <w:rPr>
          <w:rFonts w:asciiTheme="minorEastAsia" w:eastAsiaTheme="minorEastAsia" w:hAnsiTheme="minorEastAsia" w:hint="eastAsia"/>
          <w:sz w:val="24"/>
        </w:rPr>
        <w:t>不</w:t>
      </w:r>
      <w:proofErr w:type="gramEnd"/>
      <w:r w:rsidRPr="005A1CDF">
        <w:rPr>
          <w:rFonts w:asciiTheme="minorEastAsia" w:eastAsiaTheme="minorEastAsia" w:hAnsiTheme="minorEastAsia" w:hint="eastAsia"/>
          <w:sz w:val="24"/>
        </w:rPr>
        <w:t>派发现金红利，不送红股，不以公积金转增股本。</w:t>
      </w:r>
    </w:p>
    <w:bookmarkEnd w:id="5"/>
    <w:p w:rsidR="006F7408" w:rsidRPr="00F14FE8" w:rsidRDefault="00072569" w:rsidP="00BC19EB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</w:t>
      </w:r>
      <w:r w:rsidR="006F7408" w:rsidRPr="00F14FE8">
        <w:rPr>
          <w:rFonts w:asciiTheme="minorEastAsia" w:eastAsiaTheme="minorEastAsia" w:hAnsiTheme="minorEastAsia" w:hint="eastAsia"/>
          <w:b/>
          <w:sz w:val="24"/>
        </w:rPr>
        <w:t>、</w:t>
      </w:r>
      <w:r w:rsidR="005A1CDF" w:rsidRPr="005A1CDF">
        <w:rPr>
          <w:rFonts w:asciiTheme="minorEastAsia" w:eastAsiaTheme="minorEastAsia" w:hAnsiTheme="minorEastAsia" w:hint="eastAsia"/>
          <w:b/>
          <w:sz w:val="24"/>
        </w:rPr>
        <w:t>现金分红方案的具体情况</w:t>
      </w:r>
    </w:p>
    <w:p w:rsidR="005A1CDF" w:rsidRPr="005A1CDF" w:rsidRDefault="004639B3" w:rsidP="005A1CDF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1．</w:t>
      </w:r>
      <w:bookmarkStart w:id="8" w:name="OLE_LINK33"/>
      <w:bookmarkStart w:id="9" w:name="OLE_LINK34"/>
      <w:r w:rsidR="005471B0" w:rsidRPr="005471B0">
        <w:rPr>
          <w:rFonts w:asciiTheme="minorEastAsia" w:eastAsiaTheme="minorEastAsia" w:hAnsiTheme="minorEastAsia" w:hint="eastAsia"/>
          <w:sz w:val="24"/>
        </w:rPr>
        <w:t>公司2025年度</w:t>
      </w:r>
      <w:proofErr w:type="gramStart"/>
      <w:r w:rsidR="005471B0" w:rsidRPr="005471B0">
        <w:rPr>
          <w:rFonts w:asciiTheme="minorEastAsia" w:eastAsiaTheme="minorEastAsia" w:hAnsiTheme="minorEastAsia" w:hint="eastAsia"/>
          <w:sz w:val="24"/>
        </w:rPr>
        <w:t>不</w:t>
      </w:r>
      <w:proofErr w:type="gramEnd"/>
      <w:r w:rsidR="005471B0" w:rsidRPr="005471B0">
        <w:rPr>
          <w:rFonts w:asciiTheme="minorEastAsia" w:eastAsiaTheme="minorEastAsia" w:hAnsiTheme="minorEastAsia" w:hint="eastAsia"/>
          <w:sz w:val="24"/>
        </w:rPr>
        <w:t>派发现金红利，不触及《深圳证券交易所股票上市规则》规定的其他风险警示情形。</w:t>
      </w:r>
      <w:bookmarkEnd w:id="8"/>
      <w:bookmarkEnd w:id="9"/>
    </w:p>
    <w:tbl>
      <w:tblPr>
        <w:tblW w:w="894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843"/>
        <w:gridCol w:w="2126"/>
        <w:gridCol w:w="2126"/>
        <w:gridCol w:w="19"/>
      </w:tblGrid>
      <w:tr w:rsidR="005A1CDF" w:rsidTr="006D2FBE">
        <w:trPr>
          <w:gridAfter w:val="1"/>
          <w:wAfter w:w="19" w:type="dxa"/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本年度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上年度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上上年度</w:t>
            </w:r>
          </w:p>
        </w:tc>
      </w:tr>
      <w:tr w:rsidR="005A1CDF" w:rsidTr="006D2FBE">
        <w:trPr>
          <w:gridAfter w:val="1"/>
          <w:wAfter w:w="19" w:type="dxa"/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现金分红总额（元）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5A1CDF" w:rsidTr="006D2FBE">
        <w:trPr>
          <w:gridAfter w:val="1"/>
          <w:wAfter w:w="19" w:type="dxa"/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回购注销总额（元）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5A1CDF" w:rsidTr="006D2FBE">
        <w:trPr>
          <w:gridAfter w:val="1"/>
          <w:wAfter w:w="19" w:type="dxa"/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归属于上市公司股东的净利润（元）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-56,964,953.58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-1,174,126,055.60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-1,496,533,239.05</w:t>
            </w:r>
          </w:p>
        </w:tc>
      </w:tr>
      <w:tr w:rsidR="005A1CDF" w:rsidTr="006D2FBE">
        <w:trPr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合并报表本年度末累计未分配利润（元）</w:t>
            </w:r>
          </w:p>
        </w:tc>
        <w:tc>
          <w:tcPr>
            <w:tcW w:w="61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-8,592,275,858.88</w:t>
            </w:r>
          </w:p>
        </w:tc>
      </w:tr>
      <w:tr w:rsidR="005A1CDF" w:rsidTr="006D2FBE">
        <w:trPr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母公司报表本年度末累计未分配利润（元）</w:t>
            </w:r>
          </w:p>
        </w:tc>
        <w:tc>
          <w:tcPr>
            <w:tcW w:w="61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-3,056,467,192.45</w:t>
            </w:r>
          </w:p>
        </w:tc>
      </w:tr>
      <w:tr w:rsidR="005A1CDF" w:rsidTr="006D2FBE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上市是否满三个完整会计年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度</w:t>
            </w:r>
          </w:p>
        </w:tc>
        <w:tc>
          <w:tcPr>
            <w:tcW w:w="61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4639B3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是</w:t>
            </w:r>
          </w:p>
        </w:tc>
      </w:tr>
      <w:tr w:rsidR="005A1CDF" w:rsidTr="006D2FBE">
        <w:trPr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最近三个会计年度累计现金分红总额（元）</w:t>
            </w:r>
          </w:p>
        </w:tc>
        <w:tc>
          <w:tcPr>
            <w:tcW w:w="61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5A1CDF" w:rsidTr="006D2FBE">
        <w:trPr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最近三个会计年度累计回购注销总额（元）</w:t>
            </w:r>
          </w:p>
        </w:tc>
        <w:tc>
          <w:tcPr>
            <w:tcW w:w="61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5A1CDF" w:rsidTr="006D2FBE">
        <w:trPr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最近三个会计年度平均净利润（元）</w:t>
            </w:r>
          </w:p>
        </w:tc>
        <w:tc>
          <w:tcPr>
            <w:tcW w:w="61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-909,208,082.74</w:t>
            </w:r>
          </w:p>
        </w:tc>
      </w:tr>
      <w:tr w:rsidR="005A1CDF" w:rsidTr="006D2FBE">
        <w:trPr>
          <w:trHeight w:val="40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spacing w:after="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最近三个会计年度累计现金分红及回购注销总额（元）</w:t>
            </w:r>
          </w:p>
        </w:tc>
        <w:tc>
          <w:tcPr>
            <w:tcW w:w="61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5A1CDF" w:rsidTr="006D2FBE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5A1CDF" w:rsidP="005A1CD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是否触及《股票上市规则》第9.8.1条第（九）项规定的可能被实施其他风险警示情形</w:t>
            </w:r>
          </w:p>
        </w:tc>
        <w:tc>
          <w:tcPr>
            <w:tcW w:w="61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A1CDF" w:rsidRDefault="004639B3" w:rsidP="004639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否</w:t>
            </w:r>
          </w:p>
        </w:tc>
      </w:tr>
    </w:tbl>
    <w:p w:rsidR="005A1CDF" w:rsidRPr="005A1CDF" w:rsidRDefault="004639B3" w:rsidP="005471B0">
      <w:pPr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.</w:t>
      </w:r>
      <w:r w:rsidR="005A1CDF" w:rsidRPr="005A1CDF">
        <w:rPr>
          <w:rFonts w:asciiTheme="minorEastAsia" w:eastAsiaTheme="minorEastAsia" w:hAnsiTheme="minorEastAsia" w:hint="eastAsia"/>
          <w:sz w:val="24"/>
        </w:rPr>
        <w:t>现金分红方案合理性说明</w:t>
      </w:r>
    </w:p>
    <w:p w:rsidR="00B20FB0" w:rsidRPr="005A1CDF" w:rsidRDefault="00D23AC1" w:rsidP="005471B0">
      <w:pPr>
        <w:spacing w:line="360" w:lineRule="auto"/>
        <w:ind w:firstLineChars="200" w:firstLine="480"/>
        <w:rPr>
          <w:color w:val="000000"/>
          <w:sz w:val="24"/>
          <w:szCs w:val="28"/>
        </w:rPr>
      </w:pPr>
      <w:bookmarkStart w:id="10" w:name="OLE_LINK35"/>
      <w:bookmarkStart w:id="11" w:name="OLE_LINK36"/>
      <w:r>
        <w:rPr>
          <w:rFonts w:asciiTheme="minorEastAsia" w:eastAsiaTheme="minorEastAsia" w:hAnsiTheme="minorEastAsia" w:hint="eastAsia"/>
          <w:sz w:val="24"/>
        </w:rPr>
        <w:t>鉴于</w:t>
      </w:r>
      <w:r w:rsidRPr="00D23AC1">
        <w:rPr>
          <w:rFonts w:asciiTheme="minorEastAsia" w:eastAsiaTheme="minorEastAsia" w:hAnsiTheme="minorEastAsia" w:hint="eastAsia"/>
          <w:sz w:val="24"/>
        </w:rPr>
        <w:t>公司2025年度可分配利润为负值，不具备现金分红条件，</w:t>
      </w:r>
      <w:r w:rsidRPr="005A1CDF">
        <w:rPr>
          <w:rFonts w:asciiTheme="minorEastAsia" w:eastAsiaTheme="minorEastAsia" w:hAnsiTheme="minorEastAsia" w:hint="eastAsia"/>
          <w:sz w:val="24"/>
        </w:rPr>
        <w:t>因此本次利润分配预案符合《公司章程》《公司未来三年（2024-2026年）股东回报规划》</w:t>
      </w:r>
      <w:r>
        <w:rPr>
          <w:rFonts w:asciiTheme="minorEastAsia" w:eastAsiaTheme="minorEastAsia" w:hAnsiTheme="minorEastAsia" w:hint="eastAsia"/>
          <w:sz w:val="24"/>
        </w:rPr>
        <w:t>等</w:t>
      </w:r>
      <w:r w:rsidRPr="005A1CDF">
        <w:rPr>
          <w:rFonts w:asciiTheme="minorEastAsia" w:eastAsiaTheme="minorEastAsia" w:hAnsiTheme="minorEastAsia" w:hint="eastAsia"/>
          <w:sz w:val="24"/>
        </w:rPr>
        <w:t>相关法规规则</w:t>
      </w:r>
      <w:r>
        <w:rPr>
          <w:rFonts w:asciiTheme="minorEastAsia" w:eastAsiaTheme="minorEastAsia" w:hAnsiTheme="minorEastAsia" w:hint="eastAsia"/>
          <w:sz w:val="24"/>
        </w:rPr>
        <w:t>的</w:t>
      </w:r>
      <w:r w:rsidRPr="005A1CDF">
        <w:rPr>
          <w:rFonts w:asciiTheme="minorEastAsia" w:eastAsiaTheme="minorEastAsia" w:hAnsiTheme="minorEastAsia" w:hint="eastAsia"/>
          <w:sz w:val="24"/>
        </w:rPr>
        <w:t>规定，不存在损害投资者利益的情况。</w:t>
      </w:r>
      <w:bookmarkEnd w:id="10"/>
      <w:bookmarkEnd w:id="11"/>
    </w:p>
    <w:p w:rsidR="00B20FB0" w:rsidRDefault="00B20FB0" w:rsidP="009C3952">
      <w:pPr>
        <w:spacing w:line="360" w:lineRule="auto"/>
        <w:ind w:firstLineChars="200" w:firstLine="480"/>
        <w:rPr>
          <w:color w:val="000000"/>
          <w:sz w:val="24"/>
          <w:szCs w:val="28"/>
        </w:rPr>
      </w:pPr>
    </w:p>
    <w:p w:rsidR="006A2333" w:rsidRDefault="006A2333" w:rsidP="009C3952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C3952">
        <w:rPr>
          <w:rStyle w:val="fontstyle01"/>
          <w:rFonts w:hint="default"/>
          <w:sz w:val="24"/>
        </w:rPr>
        <w:t>特此公告。</w:t>
      </w:r>
    </w:p>
    <w:p w:rsidR="004639B3" w:rsidRDefault="004639B3" w:rsidP="009C3952">
      <w:pPr>
        <w:spacing w:line="360" w:lineRule="auto"/>
        <w:ind w:firstLineChars="200" w:firstLine="480"/>
        <w:jc w:val="right"/>
        <w:rPr>
          <w:rStyle w:val="fontstyle01"/>
          <w:rFonts w:hint="default"/>
          <w:sz w:val="24"/>
        </w:rPr>
      </w:pPr>
    </w:p>
    <w:p w:rsidR="006A2333" w:rsidRPr="009C3952" w:rsidRDefault="006A2333" w:rsidP="009C3952">
      <w:pPr>
        <w:spacing w:line="360" w:lineRule="auto"/>
        <w:ind w:firstLineChars="200" w:firstLine="480"/>
        <w:jc w:val="right"/>
        <w:rPr>
          <w:color w:val="000000"/>
          <w:sz w:val="24"/>
          <w:szCs w:val="28"/>
        </w:rPr>
      </w:pPr>
      <w:r w:rsidRPr="009C3952">
        <w:rPr>
          <w:rStyle w:val="fontstyle01"/>
          <w:rFonts w:hint="default"/>
          <w:sz w:val="24"/>
        </w:rPr>
        <w:t>江苏中利集团股份有限公司董事会</w:t>
      </w:r>
    </w:p>
    <w:p w:rsidR="00425037" w:rsidRPr="009C3952" w:rsidRDefault="00E914A9" w:rsidP="00D023AA">
      <w:pPr>
        <w:spacing w:line="360" w:lineRule="auto"/>
        <w:ind w:right="480" w:firstLineChars="2300" w:firstLine="5520"/>
        <w:rPr>
          <w:rFonts w:ascii="宋体" w:hAnsi="宋体"/>
          <w:color w:val="000000"/>
          <w:sz w:val="24"/>
          <w:szCs w:val="28"/>
        </w:rPr>
      </w:pPr>
      <w:r>
        <w:rPr>
          <w:rStyle w:val="fontstyle01"/>
          <w:rFonts w:hint="default"/>
          <w:sz w:val="24"/>
        </w:rPr>
        <w:t>2026年</w:t>
      </w:r>
      <w:r w:rsidR="00F023AE">
        <w:rPr>
          <w:rStyle w:val="fontstyle01"/>
          <w:rFonts w:hint="default"/>
          <w:sz w:val="24"/>
        </w:rPr>
        <w:t>4</w:t>
      </w:r>
      <w:r w:rsidR="006A2333" w:rsidRPr="001815BE">
        <w:rPr>
          <w:rStyle w:val="fontstyle01"/>
          <w:rFonts w:hint="default"/>
          <w:sz w:val="24"/>
        </w:rPr>
        <w:t>月</w:t>
      </w:r>
      <w:r w:rsidR="0046246B">
        <w:rPr>
          <w:rStyle w:val="fontstyle01"/>
          <w:rFonts w:hint="default"/>
          <w:sz w:val="24"/>
        </w:rPr>
        <w:t>2</w:t>
      </w:r>
      <w:r>
        <w:rPr>
          <w:rStyle w:val="fontstyle01"/>
          <w:rFonts w:hint="default"/>
          <w:sz w:val="24"/>
        </w:rPr>
        <w:t>5</w:t>
      </w:r>
      <w:r w:rsidR="006A2333" w:rsidRPr="001815BE">
        <w:rPr>
          <w:rStyle w:val="fontstyle01"/>
          <w:rFonts w:hint="default"/>
          <w:sz w:val="24"/>
        </w:rPr>
        <w:t>日</w:t>
      </w:r>
    </w:p>
    <w:sectPr w:rsidR="00425037" w:rsidRPr="009C39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9C" w:rsidRDefault="0067109C" w:rsidP="00365AAE">
      <w:r>
        <w:separator/>
      </w:r>
    </w:p>
  </w:endnote>
  <w:endnote w:type="continuationSeparator" w:id="0">
    <w:p w:rsidR="0067109C" w:rsidRDefault="0067109C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E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E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9C" w:rsidRDefault="0067109C" w:rsidP="00365AAE">
      <w:r>
        <w:separator/>
      </w:r>
    </w:p>
  </w:footnote>
  <w:footnote w:type="continuationSeparator" w:id="0">
    <w:p w:rsidR="0067109C" w:rsidRDefault="0067109C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229CB"/>
    <w:rsid w:val="000250AB"/>
    <w:rsid w:val="00033D76"/>
    <w:rsid w:val="00041843"/>
    <w:rsid w:val="000432B0"/>
    <w:rsid w:val="00043CD6"/>
    <w:rsid w:val="00045129"/>
    <w:rsid w:val="00046F19"/>
    <w:rsid w:val="00050D57"/>
    <w:rsid w:val="000515C2"/>
    <w:rsid w:val="00062659"/>
    <w:rsid w:val="00072569"/>
    <w:rsid w:val="000730EF"/>
    <w:rsid w:val="000830FB"/>
    <w:rsid w:val="00083194"/>
    <w:rsid w:val="000870EE"/>
    <w:rsid w:val="00094CCB"/>
    <w:rsid w:val="000A54F9"/>
    <w:rsid w:val="000A5BC1"/>
    <w:rsid w:val="000A783D"/>
    <w:rsid w:val="000B0A8F"/>
    <w:rsid w:val="000B0F90"/>
    <w:rsid w:val="000B2505"/>
    <w:rsid w:val="000B3F09"/>
    <w:rsid w:val="000B4EA0"/>
    <w:rsid w:val="000B5F0F"/>
    <w:rsid w:val="000B7639"/>
    <w:rsid w:val="000C2628"/>
    <w:rsid w:val="000C294D"/>
    <w:rsid w:val="000C78A7"/>
    <w:rsid w:val="000D093A"/>
    <w:rsid w:val="000D63C8"/>
    <w:rsid w:val="000E070C"/>
    <w:rsid w:val="000E1BB7"/>
    <w:rsid w:val="000E3C80"/>
    <w:rsid w:val="000E7B4E"/>
    <w:rsid w:val="000E7C14"/>
    <w:rsid w:val="000F0971"/>
    <w:rsid w:val="000F1686"/>
    <w:rsid w:val="000F60AA"/>
    <w:rsid w:val="000F78B9"/>
    <w:rsid w:val="00102E93"/>
    <w:rsid w:val="00103B0F"/>
    <w:rsid w:val="0010454D"/>
    <w:rsid w:val="001051B2"/>
    <w:rsid w:val="00110227"/>
    <w:rsid w:val="00111B3B"/>
    <w:rsid w:val="001120B4"/>
    <w:rsid w:val="00123252"/>
    <w:rsid w:val="001374D3"/>
    <w:rsid w:val="00142041"/>
    <w:rsid w:val="00143DD5"/>
    <w:rsid w:val="00144496"/>
    <w:rsid w:val="00152849"/>
    <w:rsid w:val="001567FC"/>
    <w:rsid w:val="0016031C"/>
    <w:rsid w:val="001645DF"/>
    <w:rsid w:val="0017044A"/>
    <w:rsid w:val="0017049B"/>
    <w:rsid w:val="00180456"/>
    <w:rsid w:val="001815BE"/>
    <w:rsid w:val="00187F26"/>
    <w:rsid w:val="001907FC"/>
    <w:rsid w:val="00192AC7"/>
    <w:rsid w:val="001975BA"/>
    <w:rsid w:val="001A042B"/>
    <w:rsid w:val="001A1A4D"/>
    <w:rsid w:val="001A5847"/>
    <w:rsid w:val="001A717C"/>
    <w:rsid w:val="001A7602"/>
    <w:rsid w:val="001B07C8"/>
    <w:rsid w:val="001B17D7"/>
    <w:rsid w:val="001D10EB"/>
    <w:rsid w:val="001D3541"/>
    <w:rsid w:val="001D3620"/>
    <w:rsid w:val="001D6E0E"/>
    <w:rsid w:val="001D6FC5"/>
    <w:rsid w:val="001D70EF"/>
    <w:rsid w:val="001F3A44"/>
    <w:rsid w:val="001F5A55"/>
    <w:rsid w:val="001F65E8"/>
    <w:rsid w:val="0020589D"/>
    <w:rsid w:val="00207A9E"/>
    <w:rsid w:val="00210AA2"/>
    <w:rsid w:val="00210D61"/>
    <w:rsid w:val="00211AC5"/>
    <w:rsid w:val="00212A86"/>
    <w:rsid w:val="00216D16"/>
    <w:rsid w:val="0021780E"/>
    <w:rsid w:val="00220627"/>
    <w:rsid w:val="00223330"/>
    <w:rsid w:val="002253DA"/>
    <w:rsid w:val="00225F16"/>
    <w:rsid w:val="00230E4A"/>
    <w:rsid w:val="00233725"/>
    <w:rsid w:val="00235551"/>
    <w:rsid w:val="00247DB4"/>
    <w:rsid w:val="002521DF"/>
    <w:rsid w:val="002628EC"/>
    <w:rsid w:val="00263AA3"/>
    <w:rsid w:val="00265F49"/>
    <w:rsid w:val="00266CA8"/>
    <w:rsid w:val="002675C8"/>
    <w:rsid w:val="00267AE0"/>
    <w:rsid w:val="00284FD6"/>
    <w:rsid w:val="00286045"/>
    <w:rsid w:val="00287A4F"/>
    <w:rsid w:val="00291805"/>
    <w:rsid w:val="00293C6F"/>
    <w:rsid w:val="0029434A"/>
    <w:rsid w:val="00296343"/>
    <w:rsid w:val="002A374F"/>
    <w:rsid w:val="002A726F"/>
    <w:rsid w:val="002B1CBF"/>
    <w:rsid w:val="002B2CB1"/>
    <w:rsid w:val="002B35D3"/>
    <w:rsid w:val="002C05AA"/>
    <w:rsid w:val="002C09E1"/>
    <w:rsid w:val="002C0D97"/>
    <w:rsid w:val="002C16D7"/>
    <w:rsid w:val="002C1B5E"/>
    <w:rsid w:val="002C23A4"/>
    <w:rsid w:val="002C3F23"/>
    <w:rsid w:val="002C69CB"/>
    <w:rsid w:val="002D2173"/>
    <w:rsid w:val="002D49AE"/>
    <w:rsid w:val="002D6A76"/>
    <w:rsid w:val="002E223E"/>
    <w:rsid w:val="002E2DD4"/>
    <w:rsid w:val="002F096B"/>
    <w:rsid w:val="002F6360"/>
    <w:rsid w:val="002F7CB8"/>
    <w:rsid w:val="00301E47"/>
    <w:rsid w:val="003036A5"/>
    <w:rsid w:val="00303889"/>
    <w:rsid w:val="0031077F"/>
    <w:rsid w:val="00311383"/>
    <w:rsid w:val="003120B0"/>
    <w:rsid w:val="00313451"/>
    <w:rsid w:val="0031417B"/>
    <w:rsid w:val="003154BD"/>
    <w:rsid w:val="00320FAF"/>
    <w:rsid w:val="00322BC0"/>
    <w:rsid w:val="003264EB"/>
    <w:rsid w:val="00331F45"/>
    <w:rsid w:val="003328C8"/>
    <w:rsid w:val="003338F8"/>
    <w:rsid w:val="00333C15"/>
    <w:rsid w:val="00334D6E"/>
    <w:rsid w:val="00342D3B"/>
    <w:rsid w:val="00343936"/>
    <w:rsid w:val="003479CE"/>
    <w:rsid w:val="003543C6"/>
    <w:rsid w:val="00356F9A"/>
    <w:rsid w:val="0035757D"/>
    <w:rsid w:val="003612B2"/>
    <w:rsid w:val="00362EB3"/>
    <w:rsid w:val="00365AAE"/>
    <w:rsid w:val="003669F8"/>
    <w:rsid w:val="003717CB"/>
    <w:rsid w:val="00377DDC"/>
    <w:rsid w:val="003833F8"/>
    <w:rsid w:val="00383A17"/>
    <w:rsid w:val="003863B3"/>
    <w:rsid w:val="003872DB"/>
    <w:rsid w:val="00393746"/>
    <w:rsid w:val="003965D3"/>
    <w:rsid w:val="003A14B7"/>
    <w:rsid w:val="003A3252"/>
    <w:rsid w:val="003A609D"/>
    <w:rsid w:val="003A63F5"/>
    <w:rsid w:val="003A7392"/>
    <w:rsid w:val="003B1946"/>
    <w:rsid w:val="003B200E"/>
    <w:rsid w:val="003B694E"/>
    <w:rsid w:val="003B7A14"/>
    <w:rsid w:val="003C1E7F"/>
    <w:rsid w:val="003C50BC"/>
    <w:rsid w:val="003D2E93"/>
    <w:rsid w:val="003D3122"/>
    <w:rsid w:val="003E12C3"/>
    <w:rsid w:val="003E5D48"/>
    <w:rsid w:val="003F1CBC"/>
    <w:rsid w:val="003F20BA"/>
    <w:rsid w:val="003F2578"/>
    <w:rsid w:val="003F327A"/>
    <w:rsid w:val="003F514C"/>
    <w:rsid w:val="003F6060"/>
    <w:rsid w:val="003F6606"/>
    <w:rsid w:val="003F7F57"/>
    <w:rsid w:val="00405004"/>
    <w:rsid w:val="00406CE2"/>
    <w:rsid w:val="004117E2"/>
    <w:rsid w:val="004146F9"/>
    <w:rsid w:val="0041491E"/>
    <w:rsid w:val="00417791"/>
    <w:rsid w:val="00421674"/>
    <w:rsid w:val="00421814"/>
    <w:rsid w:val="00423E11"/>
    <w:rsid w:val="00425037"/>
    <w:rsid w:val="00432AAA"/>
    <w:rsid w:val="00433E2E"/>
    <w:rsid w:val="004515C6"/>
    <w:rsid w:val="00452620"/>
    <w:rsid w:val="004532B7"/>
    <w:rsid w:val="00455E72"/>
    <w:rsid w:val="00461993"/>
    <w:rsid w:val="0046246B"/>
    <w:rsid w:val="004639B3"/>
    <w:rsid w:val="0046444A"/>
    <w:rsid w:val="004658F6"/>
    <w:rsid w:val="00465F50"/>
    <w:rsid w:val="00467DB6"/>
    <w:rsid w:val="00470164"/>
    <w:rsid w:val="0047792B"/>
    <w:rsid w:val="0048029E"/>
    <w:rsid w:val="004854F1"/>
    <w:rsid w:val="0049187F"/>
    <w:rsid w:val="004939F3"/>
    <w:rsid w:val="004945A9"/>
    <w:rsid w:val="00495D28"/>
    <w:rsid w:val="004A2250"/>
    <w:rsid w:val="004A2731"/>
    <w:rsid w:val="004A4965"/>
    <w:rsid w:val="004B20FF"/>
    <w:rsid w:val="004B5AAC"/>
    <w:rsid w:val="004B5B71"/>
    <w:rsid w:val="004B6C6A"/>
    <w:rsid w:val="004B792E"/>
    <w:rsid w:val="004C7109"/>
    <w:rsid w:val="004D5933"/>
    <w:rsid w:val="004D6D34"/>
    <w:rsid w:val="004E0C71"/>
    <w:rsid w:val="004E2052"/>
    <w:rsid w:val="004E788B"/>
    <w:rsid w:val="004F0D80"/>
    <w:rsid w:val="004F37D1"/>
    <w:rsid w:val="004F5C8A"/>
    <w:rsid w:val="004F7993"/>
    <w:rsid w:val="004F7E42"/>
    <w:rsid w:val="0050135F"/>
    <w:rsid w:val="00503413"/>
    <w:rsid w:val="00503B39"/>
    <w:rsid w:val="00503EEC"/>
    <w:rsid w:val="00504CAE"/>
    <w:rsid w:val="00513297"/>
    <w:rsid w:val="00521719"/>
    <w:rsid w:val="00524E90"/>
    <w:rsid w:val="00525260"/>
    <w:rsid w:val="00527F7D"/>
    <w:rsid w:val="00531DA8"/>
    <w:rsid w:val="00541F8A"/>
    <w:rsid w:val="005466AB"/>
    <w:rsid w:val="005471B0"/>
    <w:rsid w:val="0054785A"/>
    <w:rsid w:val="0055390F"/>
    <w:rsid w:val="00554347"/>
    <w:rsid w:val="005558C2"/>
    <w:rsid w:val="00556D1E"/>
    <w:rsid w:val="00560217"/>
    <w:rsid w:val="00560430"/>
    <w:rsid w:val="00563CB0"/>
    <w:rsid w:val="00573A22"/>
    <w:rsid w:val="00576526"/>
    <w:rsid w:val="005824BB"/>
    <w:rsid w:val="00583532"/>
    <w:rsid w:val="00583F0E"/>
    <w:rsid w:val="00584B6D"/>
    <w:rsid w:val="005854F3"/>
    <w:rsid w:val="005856D8"/>
    <w:rsid w:val="00586BBC"/>
    <w:rsid w:val="00586C20"/>
    <w:rsid w:val="00587C53"/>
    <w:rsid w:val="005922DC"/>
    <w:rsid w:val="005933BD"/>
    <w:rsid w:val="005A028A"/>
    <w:rsid w:val="005A041F"/>
    <w:rsid w:val="005A1CDF"/>
    <w:rsid w:val="005A1F32"/>
    <w:rsid w:val="005A21AA"/>
    <w:rsid w:val="005A2356"/>
    <w:rsid w:val="005A3806"/>
    <w:rsid w:val="005C0ECE"/>
    <w:rsid w:val="005C2693"/>
    <w:rsid w:val="005C3043"/>
    <w:rsid w:val="005C5878"/>
    <w:rsid w:val="005C6A4F"/>
    <w:rsid w:val="005C71C1"/>
    <w:rsid w:val="005D2DF6"/>
    <w:rsid w:val="005D5267"/>
    <w:rsid w:val="005E0C1A"/>
    <w:rsid w:val="005E6044"/>
    <w:rsid w:val="005E79A8"/>
    <w:rsid w:val="005F26EC"/>
    <w:rsid w:val="005F5FCB"/>
    <w:rsid w:val="00603B1B"/>
    <w:rsid w:val="006049FE"/>
    <w:rsid w:val="0060503F"/>
    <w:rsid w:val="00606F1A"/>
    <w:rsid w:val="00610546"/>
    <w:rsid w:val="00613102"/>
    <w:rsid w:val="0061664C"/>
    <w:rsid w:val="0063103E"/>
    <w:rsid w:val="00631A1E"/>
    <w:rsid w:val="0063282F"/>
    <w:rsid w:val="00633034"/>
    <w:rsid w:val="006339A4"/>
    <w:rsid w:val="00634469"/>
    <w:rsid w:val="006367FA"/>
    <w:rsid w:val="00637652"/>
    <w:rsid w:val="00637A88"/>
    <w:rsid w:val="00640373"/>
    <w:rsid w:val="00642EFE"/>
    <w:rsid w:val="00643B05"/>
    <w:rsid w:val="00644570"/>
    <w:rsid w:val="006451DF"/>
    <w:rsid w:val="00651304"/>
    <w:rsid w:val="00651E1E"/>
    <w:rsid w:val="006536FE"/>
    <w:rsid w:val="006571EA"/>
    <w:rsid w:val="006605EE"/>
    <w:rsid w:val="00665FFF"/>
    <w:rsid w:val="006679E7"/>
    <w:rsid w:val="006709F2"/>
    <w:rsid w:val="0067109C"/>
    <w:rsid w:val="00672773"/>
    <w:rsid w:val="00672AF9"/>
    <w:rsid w:val="00690238"/>
    <w:rsid w:val="006902C5"/>
    <w:rsid w:val="006966DB"/>
    <w:rsid w:val="0069791A"/>
    <w:rsid w:val="006A1BB6"/>
    <w:rsid w:val="006A2333"/>
    <w:rsid w:val="006B00F5"/>
    <w:rsid w:val="006B032A"/>
    <w:rsid w:val="006B3235"/>
    <w:rsid w:val="006B5553"/>
    <w:rsid w:val="006B607D"/>
    <w:rsid w:val="006B7344"/>
    <w:rsid w:val="006C151C"/>
    <w:rsid w:val="006C18FD"/>
    <w:rsid w:val="006C36EC"/>
    <w:rsid w:val="006C49AA"/>
    <w:rsid w:val="006C5B78"/>
    <w:rsid w:val="006D094F"/>
    <w:rsid w:val="006D0F89"/>
    <w:rsid w:val="006D25B5"/>
    <w:rsid w:val="006D2FBE"/>
    <w:rsid w:val="006E1EC6"/>
    <w:rsid w:val="006E4CEA"/>
    <w:rsid w:val="006F0D32"/>
    <w:rsid w:val="006F173C"/>
    <w:rsid w:val="006F217F"/>
    <w:rsid w:val="006F2EBA"/>
    <w:rsid w:val="006F49DD"/>
    <w:rsid w:val="006F7408"/>
    <w:rsid w:val="00700DB1"/>
    <w:rsid w:val="00702905"/>
    <w:rsid w:val="00704317"/>
    <w:rsid w:val="00704637"/>
    <w:rsid w:val="00706B30"/>
    <w:rsid w:val="00712DF3"/>
    <w:rsid w:val="00713491"/>
    <w:rsid w:val="00716150"/>
    <w:rsid w:val="007200D3"/>
    <w:rsid w:val="00722D1B"/>
    <w:rsid w:val="007230F9"/>
    <w:rsid w:val="00725D28"/>
    <w:rsid w:val="0072630A"/>
    <w:rsid w:val="00726997"/>
    <w:rsid w:val="00735D5B"/>
    <w:rsid w:val="00741602"/>
    <w:rsid w:val="00750BE1"/>
    <w:rsid w:val="0075521A"/>
    <w:rsid w:val="0076630D"/>
    <w:rsid w:val="00766BB2"/>
    <w:rsid w:val="00784784"/>
    <w:rsid w:val="00784E50"/>
    <w:rsid w:val="00785936"/>
    <w:rsid w:val="00786864"/>
    <w:rsid w:val="00787099"/>
    <w:rsid w:val="00787F52"/>
    <w:rsid w:val="00790360"/>
    <w:rsid w:val="00795EDF"/>
    <w:rsid w:val="007A0C10"/>
    <w:rsid w:val="007A41BB"/>
    <w:rsid w:val="007A4512"/>
    <w:rsid w:val="007B363F"/>
    <w:rsid w:val="007C2E21"/>
    <w:rsid w:val="007C35D6"/>
    <w:rsid w:val="007C372B"/>
    <w:rsid w:val="007C5AE7"/>
    <w:rsid w:val="007C5E5F"/>
    <w:rsid w:val="007C5E99"/>
    <w:rsid w:val="007D7257"/>
    <w:rsid w:val="007D77FA"/>
    <w:rsid w:val="007D792E"/>
    <w:rsid w:val="007E3B86"/>
    <w:rsid w:val="007E3C5A"/>
    <w:rsid w:val="007E44C8"/>
    <w:rsid w:val="007E671E"/>
    <w:rsid w:val="007E6771"/>
    <w:rsid w:val="007E6D17"/>
    <w:rsid w:val="007F3D98"/>
    <w:rsid w:val="007F40E6"/>
    <w:rsid w:val="007F56DF"/>
    <w:rsid w:val="007F5D6B"/>
    <w:rsid w:val="008043E7"/>
    <w:rsid w:val="00806F42"/>
    <w:rsid w:val="00814D65"/>
    <w:rsid w:val="008153EC"/>
    <w:rsid w:val="008214F4"/>
    <w:rsid w:val="00821965"/>
    <w:rsid w:val="00822AC4"/>
    <w:rsid w:val="008254F2"/>
    <w:rsid w:val="008342AD"/>
    <w:rsid w:val="0083694D"/>
    <w:rsid w:val="00842152"/>
    <w:rsid w:val="00842494"/>
    <w:rsid w:val="00844B5E"/>
    <w:rsid w:val="008473B8"/>
    <w:rsid w:val="008501D8"/>
    <w:rsid w:val="00854881"/>
    <w:rsid w:val="00854E78"/>
    <w:rsid w:val="00861738"/>
    <w:rsid w:val="00862308"/>
    <w:rsid w:val="008649C6"/>
    <w:rsid w:val="00865D7F"/>
    <w:rsid w:val="00871505"/>
    <w:rsid w:val="0087270A"/>
    <w:rsid w:val="0087428D"/>
    <w:rsid w:val="00884FC2"/>
    <w:rsid w:val="008858DC"/>
    <w:rsid w:val="00890D86"/>
    <w:rsid w:val="008A0D82"/>
    <w:rsid w:val="008A30E5"/>
    <w:rsid w:val="008A6BCD"/>
    <w:rsid w:val="008A79C5"/>
    <w:rsid w:val="008B36F4"/>
    <w:rsid w:val="008B60CB"/>
    <w:rsid w:val="008C0BC1"/>
    <w:rsid w:val="008C298B"/>
    <w:rsid w:val="008C46E4"/>
    <w:rsid w:val="008C481C"/>
    <w:rsid w:val="008C5E4E"/>
    <w:rsid w:val="008C756F"/>
    <w:rsid w:val="008D0BFE"/>
    <w:rsid w:val="008D1D9F"/>
    <w:rsid w:val="008D278A"/>
    <w:rsid w:val="008D4382"/>
    <w:rsid w:val="008D5206"/>
    <w:rsid w:val="008E3F8B"/>
    <w:rsid w:val="008E5F0F"/>
    <w:rsid w:val="008F00D9"/>
    <w:rsid w:val="00901F50"/>
    <w:rsid w:val="00902319"/>
    <w:rsid w:val="00902644"/>
    <w:rsid w:val="00903D2B"/>
    <w:rsid w:val="009051F7"/>
    <w:rsid w:val="009124B8"/>
    <w:rsid w:val="0091354E"/>
    <w:rsid w:val="00914C1E"/>
    <w:rsid w:val="00915875"/>
    <w:rsid w:val="009165A3"/>
    <w:rsid w:val="00932D42"/>
    <w:rsid w:val="00943890"/>
    <w:rsid w:val="00952504"/>
    <w:rsid w:val="00957555"/>
    <w:rsid w:val="00960F6B"/>
    <w:rsid w:val="009615C6"/>
    <w:rsid w:val="009632AF"/>
    <w:rsid w:val="00963B44"/>
    <w:rsid w:val="009706FF"/>
    <w:rsid w:val="00973A6D"/>
    <w:rsid w:val="00977694"/>
    <w:rsid w:val="00977E68"/>
    <w:rsid w:val="009846FE"/>
    <w:rsid w:val="00985CB4"/>
    <w:rsid w:val="00996FBD"/>
    <w:rsid w:val="009A11BC"/>
    <w:rsid w:val="009A2F26"/>
    <w:rsid w:val="009A7C19"/>
    <w:rsid w:val="009B1370"/>
    <w:rsid w:val="009B36F2"/>
    <w:rsid w:val="009C319E"/>
    <w:rsid w:val="009C3952"/>
    <w:rsid w:val="009C64A7"/>
    <w:rsid w:val="009D0C43"/>
    <w:rsid w:val="009D3440"/>
    <w:rsid w:val="009D52B6"/>
    <w:rsid w:val="009D7CB9"/>
    <w:rsid w:val="009E0E9E"/>
    <w:rsid w:val="009E56D2"/>
    <w:rsid w:val="009F5D3A"/>
    <w:rsid w:val="009F7C2C"/>
    <w:rsid w:val="009F7C3E"/>
    <w:rsid w:val="00A03A1E"/>
    <w:rsid w:val="00A12A8E"/>
    <w:rsid w:val="00A153F9"/>
    <w:rsid w:val="00A15D87"/>
    <w:rsid w:val="00A2278D"/>
    <w:rsid w:val="00A24BE8"/>
    <w:rsid w:val="00A25B43"/>
    <w:rsid w:val="00A26F28"/>
    <w:rsid w:val="00A349F1"/>
    <w:rsid w:val="00A41610"/>
    <w:rsid w:val="00A4796A"/>
    <w:rsid w:val="00A5096C"/>
    <w:rsid w:val="00A54BF0"/>
    <w:rsid w:val="00A55366"/>
    <w:rsid w:val="00A55B49"/>
    <w:rsid w:val="00A60865"/>
    <w:rsid w:val="00A67636"/>
    <w:rsid w:val="00A67DC4"/>
    <w:rsid w:val="00A83D66"/>
    <w:rsid w:val="00A850AA"/>
    <w:rsid w:val="00A85130"/>
    <w:rsid w:val="00A8697F"/>
    <w:rsid w:val="00A86A09"/>
    <w:rsid w:val="00A94669"/>
    <w:rsid w:val="00A9534D"/>
    <w:rsid w:val="00A96C4F"/>
    <w:rsid w:val="00A978B6"/>
    <w:rsid w:val="00A97D84"/>
    <w:rsid w:val="00AA2FB1"/>
    <w:rsid w:val="00AA52DD"/>
    <w:rsid w:val="00AA6E8A"/>
    <w:rsid w:val="00AB37C7"/>
    <w:rsid w:val="00AB487A"/>
    <w:rsid w:val="00AB53F0"/>
    <w:rsid w:val="00AC2D50"/>
    <w:rsid w:val="00AC5A88"/>
    <w:rsid w:val="00AD1DBC"/>
    <w:rsid w:val="00AD2E88"/>
    <w:rsid w:val="00AD32C0"/>
    <w:rsid w:val="00AD39A9"/>
    <w:rsid w:val="00AE0AAF"/>
    <w:rsid w:val="00AE1C64"/>
    <w:rsid w:val="00AF0797"/>
    <w:rsid w:val="00AF0843"/>
    <w:rsid w:val="00AF46CF"/>
    <w:rsid w:val="00AF6EC1"/>
    <w:rsid w:val="00AF78DF"/>
    <w:rsid w:val="00B16E1F"/>
    <w:rsid w:val="00B20FB0"/>
    <w:rsid w:val="00B26B6D"/>
    <w:rsid w:val="00B30E06"/>
    <w:rsid w:val="00B34476"/>
    <w:rsid w:val="00B3519F"/>
    <w:rsid w:val="00B351B6"/>
    <w:rsid w:val="00B44726"/>
    <w:rsid w:val="00B44B34"/>
    <w:rsid w:val="00B54E54"/>
    <w:rsid w:val="00B5539B"/>
    <w:rsid w:val="00B57FA8"/>
    <w:rsid w:val="00B62095"/>
    <w:rsid w:val="00B62116"/>
    <w:rsid w:val="00B65549"/>
    <w:rsid w:val="00B716EF"/>
    <w:rsid w:val="00B76143"/>
    <w:rsid w:val="00B77BDD"/>
    <w:rsid w:val="00B80FA0"/>
    <w:rsid w:val="00B85835"/>
    <w:rsid w:val="00B864F9"/>
    <w:rsid w:val="00B87ABC"/>
    <w:rsid w:val="00B911F6"/>
    <w:rsid w:val="00B93D0A"/>
    <w:rsid w:val="00B96D7F"/>
    <w:rsid w:val="00BB3940"/>
    <w:rsid w:val="00BB47C5"/>
    <w:rsid w:val="00BB5824"/>
    <w:rsid w:val="00BC0112"/>
    <w:rsid w:val="00BC051E"/>
    <w:rsid w:val="00BC0B24"/>
    <w:rsid w:val="00BC19EB"/>
    <w:rsid w:val="00BC53B6"/>
    <w:rsid w:val="00BC7643"/>
    <w:rsid w:val="00BD2A5E"/>
    <w:rsid w:val="00BD594D"/>
    <w:rsid w:val="00BD70F4"/>
    <w:rsid w:val="00BD71E3"/>
    <w:rsid w:val="00BE175D"/>
    <w:rsid w:val="00BE5CD2"/>
    <w:rsid w:val="00BE7F4E"/>
    <w:rsid w:val="00BF24A9"/>
    <w:rsid w:val="00BF4247"/>
    <w:rsid w:val="00BF7989"/>
    <w:rsid w:val="00C00D5B"/>
    <w:rsid w:val="00C049C3"/>
    <w:rsid w:val="00C052CE"/>
    <w:rsid w:val="00C05FF4"/>
    <w:rsid w:val="00C07F42"/>
    <w:rsid w:val="00C11715"/>
    <w:rsid w:val="00C15A52"/>
    <w:rsid w:val="00C24E8A"/>
    <w:rsid w:val="00C314F5"/>
    <w:rsid w:val="00C40435"/>
    <w:rsid w:val="00C40984"/>
    <w:rsid w:val="00C40CAB"/>
    <w:rsid w:val="00C47C87"/>
    <w:rsid w:val="00C5098F"/>
    <w:rsid w:val="00C55ED7"/>
    <w:rsid w:val="00C56138"/>
    <w:rsid w:val="00C563BD"/>
    <w:rsid w:val="00C6571F"/>
    <w:rsid w:val="00C74D4B"/>
    <w:rsid w:val="00C7669C"/>
    <w:rsid w:val="00C832A9"/>
    <w:rsid w:val="00C877C7"/>
    <w:rsid w:val="00C94414"/>
    <w:rsid w:val="00C9676E"/>
    <w:rsid w:val="00CA2893"/>
    <w:rsid w:val="00CA2EFB"/>
    <w:rsid w:val="00CA3E46"/>
    <w:rsid w:val="00CB3CDA"/>
    <w:rsid w:val="00CB65AF"/>
    <w:rsid w:val="00CB7EDD"/>
    <w:rsid w:val="00CC1607"/>
    <w:rsid w:val="00CC203D"/>
    <w:rsid w:val="00CC2D16"/>
    <w:rsid w:val="00CC53A1"/>
    <w:rsid w:val="00CC70FA"/>
    <w:rsid w:val="00CC75B9"/>
    <w:rsid w:val="00CD4B6A"/>
    <w:rsid w:val="00CD7B0B"/>
    <w:rsid w:val="00CE2806"/>
    <w:rsid w:val="00CF00C9"/>
    <w:rsid w:val="00CF1B35"/>
    <w:rsid w:val="00CF26BF"/>
    <w:rsid w:val="00CF3596"/>
    <w:rsid w:val="00CF5AEB"/>
    <w:rsid w:val="00D00C3B"/>
    <w:rsid w:val="00D023AA"/>
    <w:rsid w:val="00D1082D"/>
    <w:rsid w:val="00D22452"/>
    <w:rsid w:val="00D22F28"/>
    <w:rsid w:val="00D231FD"/>
    <w:rsid w:val="00D23AC1"/>
    <w:rsid w:val="00D23BE0"/>
    <w:rsid w:val="00D25B18"/>
    <w:rsid w:val="00D25FCF"/>
    <w:rsid w:val="00D2730C"/>
    <w:rsid w:val="00D27481"/>
    <w:rsid w:val="00D27499"/>
    <w:rsid w:val="00D34A45"/>
    <w:rsid w:val="00D43057"/>
    <w:rsid w:val="00D51F5F"/>
    <w:rsid w:val="00D5674D"/>
    <w:rsid w:val="00D60195"/>
    <w:rsid w:val="00D6253E"/>
    <w:rsid w:val="00D7340A"/>
    <w:rsid w:val="00D81A25"/>
    <w:rsid w:val="00D82781"/>
    <w:rsid w:val="00D85FBB"/>
    <w:rsid w:val="00D97251"/>
    <w:rsid w:val="00DA2925"/>
    <w:rsid w:val="00DA40D5"/>
    <w:rsid w:val="00DA793F"/>
    <w:rsid w:val="00DB3872"/>
    <w:rsid w:val="00DB7F13"/>
    <w:rsid w:val="00DC3D7B"/>
    <w:rsid w:val="00DC3FF0"/>
    <w:rsid w:val="00DC5D03"/>
    <w:rsid w:val="00DC6FE0"/>
    <w:rsid w:val="00DC73A3"/>
    <w:rsid w:val="00DD1181"/>
    <w:rsid w:val="00DE37DE"/>
    <w:rsid w:val="00DE5FB5"/>
    <w:rsid w:val="00DE6063"/>
    <w:rsid w:val="00DF194C"/>
    <w:rsid w:val="00E17CAC"/>
    <w:rsid w:val="00E17E25"/>
    <w:rsid w:val="00E30BF7"/>
    <w:rsid w:val="00E318F5"/>
    <w:rsid w:val="00E51E8F"/>
    <w:rsid w:val="00E614D5"/>
    <w:rsid w:val="00E62DEC"/>
    <w:rsid w:val="00E6661F"/>
    <w:rsid w:val="00E6682D"/>
    <w:rsid w:val="00E66F65"/>
    <w:rsid w:val="00E67077"/>
    <w:rsid w:val="00E671CE"/>
    <w:rsid w:val="00E67D35"/>
    <w:rsid w:val="00E7312A"/>
    <w:rsid w:val="00E73F71"/>
    <w:rsid w:val="00E82081"/>
    <w:rsid w:val="00E82763"/>
    <w:rsid w:val="00E83588"/>
    <w:rsid w:val="00E83ACA"/>
    <w:rsid w:val="00E84237"/>
    <w:rsid w:val="00E871CA"/>
    <w:rsid w:val="00E87EE9"/>
    <w:rsid w:val="00E914A9"/>
    <w:rsid w:val="00EA36AA"/>
    <w:rsid w:val="00EA3BE2"/>
    <w:rsid w:val="00EB0E65"/>
    <w:rsid w:val="00EB2C4C"/>
    <w:rsid w:val="00EB5439"/>
    <w:rsid w:val="00EB6950"/>
    <w:rsid w:val="00EB7F7E"/>
    <w:rsid w:val="00EC0EA8"/>
    <w:rsid w:val="00EC51FC"/>
    <w:rsid w:val="00EC5C63"/>
    <w:rsid w:val="00EC6CE9"/>
    <w:rsid w:val="00ED3E90"/>
    <w:rsid w:val="00EE58BB"/>
    <w:rsid w:val="00EF3557"/>
    <w:rsid w:val="00EF3770"/>
    <w:rsid w:val="00F023AE"/>
    <w:rsid w:val="00F038D9"/>
    <w:rsid w:val="00F04DFB"/>
    <w:rsid w:val="00F067CA"/>
    <w:rsid w:val="00F0730A"/>
    <w:rsid w:val="00F114ED"/>
    <w:rsid w:val="00F11F1A"/>
    <w:rsid w:val="00F12604"/>
    <w:rsid w:val="00F14492"/>
    <w:rsid w:val="00F14FE8"/>
    <w:rsid w:val="00F22587"/>
    <w:rsid w:val="00F2449F"/>
    <w:rsid w:val="00F27E57"/>
    <w:rsid w:val="00F32C35"/>
    <w:rsid w:val="00F32ED3"/>
    <w:rsid w:val="00F35C7E"/>
    <w:rsid w:val="00F36048"/>
    <w:rsid w:val="00F44700"/>
    <w:rsid w:val="00F5200D"/>
    <w:rsid w:val="00F531EB"/>
    <w:rsid w:val="00F5492D"/>
    <w:rsid w:val="00F54BB3"/>
    <w:rsid w:val="00F56A5C"/>
    <w:rsid w:val="00F608EE"/>
    <w:rsid w:val="00F66C32"/>
    <w:rsid w:val="00F713A5"/>
    <w:rsid w:val="00F72A61"/>
    <w:rsid w:val="00F760B4"/>
    <w:rsid w:val="00F77EAC"/>
    <w:rsid w:val="00F8275E"/>
    <w:rsid w:val="00F82FAF"/>
    <w:rsid w:val="00F908CD"/>
    <w:rsid w:val="00F90E8F"/>
    <w:rsid w:val="00F95446"/>
    <w:rsid w:val="00F95ED2"/>
    <w:rsid w:val="00F977BF"/>
    <w:rsid w:val="00FA0278"/>
    <w:rsid w:val="00FA1F41"/>
    <w:rsid w:val="00FA2231"/>
    <w:rsid w:val="00FA3C57"/>
    <w:rsid w:val="00FA47F2"/>
    <w:rsid w:val="00FA5693"/>
    <w:rsid w:val="00FB2900"/>
    <w:rsid w:val="00FB2D63"/>
    <w:rsid w:val="00FB6A74"/>
    <w:rsid w:val="00FC234B"/>
    <w:rsid w:val="00FC4DDE"/>
    <w:rsid w:val="00FE2AD6"/>
    <w:rsid w:val="00FE598A"/>
    <w:rsid w:val="00FE69C1"/>
    <w:rsid w:val="00FE7E62"/>
    <w:rsid w:val="00FF0028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F69B5C-97B7-4B38-A479-BD757F5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DF64-A967-4E3F-913F-D0452231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陆静怡</dc:creator>
  <cp:lastModifiedBy>LJY</cp:lastModifiedBy>
  <cp:revision>31</cp:revision>
  <cp:lastPrinted>2025-04-18T08:45:00Z</cp:lastPrinted>
  <dcterms:created xsi:type="dcterms:W3CDTF">2026-03-20T02:53:00Z</dcterms:created>
  <dcterms:modified xsi:type="dcterms:W3CDTF">2026-04-22T10:31:00Z</dcterms:modified>
</cp:coreProperties>
</file>